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BFF" w:rsidRDefault="009D6BFF" w:rsidP="009D6BFF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5 </w:t>
      </w:r>
    </w:p>
    <w:p w:rsidR="009D6BFF" w:rsidRPr="00824415" w:rsidRDefault="009D6BFF" w:rsidP="009D6BFF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36"/>
          <w:szCs w:val="36"/>
        </w:rPr>
      </w:pPr>
    </w:p>
    <w:p w:rsidR="009D6BFF" w:rsidRDefault="009D6BFF" w:rsidP="009D6BFF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предоставления грантов в форме субсидий </w:t>
      </w:r>
      <w:r>
        <w:rPr>
          <w:rFonts w:ascii="Times New Roman" w:hAnsi="Times New Roman"/>
          <w:bCs/>
          <w:sz w:val="28"/>
          <w:szCs w:val="28"/>
        </w:rPr>
        <w:t>на осуществление государственной поддержки развития инфраструктуры туризма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D6BFF" w:rsidRDefault="009D6BFF" w:rsidP="009D6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6BFF" w:rsidRDefault="009D6BFF" w:rsidP="009D6B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6BFF" w:rsidRDefault="009D6BFF" w:rsidP="009D6B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</w:p>
    <w:p w:rsidR="009D6BFF" w:rsidRDefault="009D6BFF" w:rsidP="009D6BFF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оценки конкурсной документации</w:t>
      </w:r>
    </w:p>
    <w:p w:rsidR="009D6BFF" w:rsidRDefault="009D6BFF" w:rsidP="009D6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6BFF" w:rsidRDefault="009D6BFF" w:rsidP="009D6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конкурсной комиссии оценивает конкурсную документацию по каждому критерию оценки, присваивая баллы (целыми числами) в зависимости от шкалы оценки, указанной ниже. Источник информации, в соответствии с которым оценивается конкурсная документация по конкретному критерию оценки, указан отдельно по каждому критерию оценки. </w:t>
      </w:r>
    </w:p>
    <w:p w:rsidR="009D6BFF" w:rsidRDefault="009D6BFF" w:rsidP="009D6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4942" w:type="pct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876"/>
        <w:gridCol w:w="4677"/>
        <w:gridCol w:w="862"/>
      </w:tblGrid>
      <w:tr w:rsidR="009D6BFF" w:rsidTr="00361335">
        <w:tc>
          <w:tcPr>
            <w:tcW w:w="304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608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7C4">
              <w:rPr>
                <w:rFonts w:ascii="Times New Roman" w:hAnsi="Times New Roman"/>
                <w:sz w:val="24"/>
              </w:rPr>
              <w:t>Наименование критерия оценки</w:t>
            </w: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7C4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</w:tbl>
    <w:p w:rsidR="009D6BFF" w:rsidRPr="00824415" w:rsidRDefault="009D6BFF" w:rsidP="009D6BFF">
      <w:pPr>
        <w:spacing w:after="0" w:line="240" w:lineRule="auto"/>
        <w:rPr>
          <w:sz w:val="2"/>
          <w:szCs w:val="2"/>
        </w:rPr>
      </w:pPr>
    </w:p>
    <w:tbl>
      <w:tblPr>
        <w:tblW w:w="49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2880"/>
        <w:gridCol w:w="4680"/>
        <w:gridCol w:w="851"/>
      </w:tblGrid>
      <w:tr w:rsidR="009D6BFF" w:rsidTr="00361335">
        <w:trPr>
          <w:tblHeader/>
        </w:trPr>
        <w:tc>
          <w:tcPr>
            <w:tcW w:w="304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8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D6BFF" w:rsidTr="00361335">
        <w:trPr>
          <w:trHeight w:val="212"/>
        </w:trPr>
        <w:tc>
          <w:tcPr>
            <w:tcW w:w="304" w:type="pct"/>
            <w:vMerge w:val="restart"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 w:val="restar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Проект будет способствовать увеличению количества туристов</w:t>
            </w: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не способствует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BFF" w:rsidTr="00361335">
        <w:trPr>
          <w:trHeight w:val="211"/>
        </w:trPr>
        <w:tc>
          <w:tcPr>
            <w:tcW w:w="304" w:type="pct"/>
            <w:vMerge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способствует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6BFF" w:rsidTr="00361335">
        <w:trPr>
          <w:trHeight w:val="211"/>
        </w:trPr>
        <w:tc>
          <w:tcPr>
            <w:tcW w:w="304" w:type="pct"/>
            <w:vMerge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способствует и привлечет новые целевые группы туристов (например, маломобильные группы населения, лиц старшего возраста, семьи с детьми)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D6BFF" w:rsidTr="00361335">
        <w:trPr>
          <w:trHeight w:val="354"/>
        </w:trPr>
        <w:tc>
          <w:tcPr>
            <w:tcW w:w="304" w:type="pct"/>
            <w:vMerge w:val="restart"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 w:val="restar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Проект взаимосвязан с туристскими маршрутами, туристскими ресурсами, его реализация даст прирост их посещаемости</w:t>
            </w: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не связан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BFF" w:rsidTr="00361335">
        <w:trPr>
          <w:trHeight w:val="353"/>
        </w:trPr>
        <w:tc>
          <w:tcPr>
            <w:tcW w:w="304" w:type="pct"/>
            <w:vMerge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 xml:space="preserve">интегрирован с туристскими ресурсами и туристическими маршрутами, но не является частью туристического маршрута 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6BFF" w:rsidTr="00361335">
        <w:trPr>
          <w:trHeight w:val="353"/>
        </w:trPr>
        <w:tc>
          <w:tcPr>
            <w:tcW w:w="304" w:type="pct"/>
            <w:vMerge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является неотъемлемой частью связанного туристического маршрута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D6BFF" w:rsidTr="00361335">
        <w:trPr>
          <w:trHeight w:val="69"/>
        </w:trPr>
        <w:tc>
          <w:tcPr>
            <w:tcW w:w="304" w:type="pct"/>
            <w:vMerge w:val="restart"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 w:val="restar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Риски реализации проекта</w:t>
            </w: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риски описаны не полностью/поверхностно, оценка рисков нереалистична (занижена), планируемые меры снижения/предотвращения рисков нецелесообразны, у эксперта есть существенные замечания (комментарий)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BFF" w:rsidTr="00361335">
        <w:trPr>
          <w:trHeight w:val="69"/>
        </w:trPr>
        <w:tc>
          <w:tcPr>
            <w:tcW w:w="304" w:type="pct"/>
            <w:vMerge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риски описаны не полностью, оценка рисков в целом реалистична, планируемые меры снижения/предотвращения рисков целесообразны, но у эксперта есть незначительные замечания (комментарий)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6BFF" w:rsidTr="00361335">
        <w:trPr>
          <w:trHeight w:val="69"/>
        </w:trPr>
        <w:tc>
          <w:tcPr>
            <w:tcW w:w="304" w:type="pct"/>
            <w:vMerge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риски описаны подробно и исчерпывающе, оценка рисков реалистична, планируемые меры снижения/предотвращения рисков целесообразны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D6BFF" w:rsidTr="00361335">
        <w:trPr>
          <w:trHeight w:val="142"/>
        </w:trPr>
        <w:tc>
          <w:tcPr>
            <w:tcW w:w="304" w:type="pct"/>
            <w:vMerge w:val="restart"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 w:val="restar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</w:t>
            </w: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проект слабо проработан, имеются противоречия между планируемой деятельностью и ожидаемыми результатами, сроки выполнения некорректны, имеются существенные ошибки в постановке целей, задач, и описания мероприятий, имеются существенные замечания эксперта (с комментарием)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BFF" w:rsidTr="00361335">
        <w:trPr>
          <w:trHeight w:val="142"/>
        </w:trPr>
        <w:tc>
          <w:tcPr>
            <w:tcW w:w="304" w:type="pct"/>
            <w:vMerge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описание проекта не позволяет определить содержание основных мероприятий, имеются нарушения связи между целями, задачами, мероприятиями и предполагаемыми результатами, имеются другие замечания эксперта (с комментарием)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6BFF" w:rsidTr="00361335">
        <w:trPr>
          <w:trHeight w:val="104"/>
        </w:trPr>
        <w:tc>
          <w:tcPr>
            <w:tcW w:w="304" w:type="pct"/>
            <w:vMerge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цели, задачи и мероприятия взаимосвязаны, запланированные мероприятия соответствуют условиям конкурса и обеспечивают решения задач, но есть замечания по их составу, сроки выполнения отдельных мероприятий требуют корректировки, имеются незначительные замечания эксперта (с комментарием)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D6BFF" w:rsidTr="00361335">
        <w:trPr>
          <w:trHeight w:val="103"/>
        </w:trPr>
        <w:tc>
          <w:tcPr>
            <w:tcW w:w="304" w:type="pct"/>
            <w:vMerge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описание проекта содержит необходимую и достаточную информацию для полного понимания его содержания, календарный план хорошо структурирован и детализован, мероприятия полностью соответствуют условиям конкурса и обеспечивают решение поставленных задач и достижение результатов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D6BFF" w:rsidTr="00361335">
        <w:trPr>
          <w:trHeight w:val="108"/>
        </w:trPr>
        <w:tc>
          <w:tcPr>
            <w:tcW w:w="304" w:type="pct"/>
            <w:vMerge w:val="restart"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 w:val="restar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Обоснованность и реалистичность бюджета</w:t>
            </w: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предполагаемые расходы не соответствуют мероприятиям проекта и/или условиям конкурсного отбора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BFF" w:rsidTr="00361335">
        <w:trPr>
          <w:trHeight w:val="106"/>
        </w:trPr>
        <w:tc>
          <w:tcPr>
            <w:tcW w:w="304" w:type="pct"/>
            <w:vMerge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не все предполагаемые расходы следуют из мероприятий и обоснованы, в бюджете предусмотрены не имеющие прямого отношения к реализации проекта расходы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6BFF" w:rsidTr="00361335">
        <w:trPr>
          <w:trHeight w:val="106"/>
        </w:trPr>
        <w:tc>
          <w:tcPr>
            <w:tcW w:w="304" w:type="pct"/>
            <w:vMerge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планируемые расходы следуют из мероприятий и обоснованы, однако не все детализованы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D6BFF" w:rsidTr="00361335">
        <w:trPr>
          <w:trHeight w:val="106"/>
        </w:trPr>
        <w:tc>
          <w:tcPr>
            <w:tcW w:w="304" w:type="pct"/>
            <w:vMerge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в бюджете проекта отсутствуют расходы, непосредственно не связанные с его реализацией, представлена детализация всех предполагаемых расходов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D6BFF" w:rsidTr="00361335">
        <w:trPr>
          <w:trHeight w:val="213"/>
        </w:trPr>
        <w:tc>
          <w:tcPr>
            <w:tcW w:w="304" w:type="pct"/>
            <w:vMerge w:val="restart"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 w:val="restar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 xml:space="preserve">Фактический вклад собственных средств участника конкурсного </w:t>
            </w:r>
            <w:r w:rsidRPr="00F357C4">
              <w:rPr>
                <w:rFonts w:ascii="Times New Roman" w:hAnsi="Times New Roman"/>
                <w:sz w:val="24"/>
                <w:szCs w:val="24"/>
              </w:rPr>
              <w:lastRenderedPageBreak/>
              <w:t>отбора в реализацию проекта</w:t>
            </w:r>
          </w:p>
        </w:tc>
        <w:tc>
          <w:tcPr>
            <w:tcW w:w="2613" w:type="pct"/>
            <w:shd w:val="clear" w:color="auto" w:fill="auto"/>
          </w:tcPr>
          <w:p w:rsidR="009D6BFF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lastRenderedPageBreak/>
              <w:t>размер собственных средств составляет 30% от размера запрашиваемой суммы</w:t>
            </w:r>
          </w:p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BFF" w:rsidTr="00361335">
        <w:trPr>
          <w:trHeight w:val="213"/>
        </w:trPr>
        <w:tc>
          <w:tcPr>
            <w:tcW w:w="304" w:type="pct"/>
            <w:vMerge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размер собственных средств составляет от 31% до 40% от размера запрашиваемой суммы гранта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6BFF" w:rsidTr="00361335">
        <w:trPr>
          <w:trHeight w:val="213"/>
        </w:trPr>
        <w:tc>
          <w:tcPr>
            <w:tcW w:w="304" w:type="pct"/>
            <w:vMerge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размер собственных средств составляет от 41 % до 50% размера запрашиваемой суммы гранта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D6BFF" w:rsidTr="00361335">
        <w:trPr>
          <w:trHeight w:val="213"/>
        </w:trPr>
        <w:tc>
          <w:tcPr>
            <w:tcW w:w="304" w:type="pct"/>
            <w:vMerge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размер собственных средств составляет от 51% от размера запрашиваемой суммы гранта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D6BFF" w:rsidTr="00361335">
        <w:trPr>
          <w:trHeight w:val="265"/>
        </w:trPr>
        <w:tc>
          <w:tcPr>
            <w:tcW w:w="304" w:type="pct"/>
            <w:vMerge w:val="restart"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 w:val="restar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Наличие у участника конкурсного отбора реализованных проектов по тематике заявленных мероприятий</w:t>
            </w: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отсутствие опыта в сфере деятельности и реализованных проектов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BFF" w:rsidTr="00361335">
        <w:trPr>
          <w:trHeight w:val="265"/>
        </w:trPr>
        <w:tc>
          <w:tcPr>
            <w:tcW w:w="304" w:type="pct"/>
            <w:vMerge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опыт до 1 года или 1 реализованный проект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6BFF" w:rsidTr="00361335">
        <w:trPr>
          <w:trHeight w:val="265"/>
        </w:trPr>
        <w:tc>
          <w:tcPr>
            <w:tcW w:w="304" w:type="pct"/>
            <w:vMerge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опыт 1 – 3 года или 1 – 3 реализованных проекта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D6BFF" w:rsidTr="00361335">
        <w:trPr>
          <w:trHeight w:val="265"/>
        </w:trPr>
        <w:tc>
          <w:tcPr>
            <w:tcW w:w="304" w:type="pct"/>
            <w:vMerge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опыт от 3 лет или более 3 реализованных проектов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D6BFF" w:rsidTr="00361335">
        <w:tc>
          <w:tcPr>
            <w:tcW w:w="304" w:type="pct"/>
            <w:vMerge w:val="restart"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 w:val="restar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Соответствие опыта и компетенций команды проекта заявленной деятельности</w:t>
            </w: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команда без опыта и компетенций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BFF" w:rsidTr="00361335">
        <w:trPr>
          <w:trHeight w:val="317"/>
        </w:trPr>
        <w:tc>
          <w:tcPr>
            <w:tcW w:w="304" w:type="pct"/>
            <w:vMerge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заявленные сотрудники обладают опытом и компетенциями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6BFF" w:rsidTr="00361335">
        <w:trPr>
          <w:trHeight w:val="426"/>
        </w:trPr>
        <w:tc>
          <w:tcPr>
            <w:tcW w:w="304" w:type="pct"/>
            <w:vMerge w:val="restart"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 w:val="restar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Основные виды деятельности участника конкурсного отбора соответствуют заявленным видам деятельности</w:t>
            </w: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соответствует дополнительный ОКВЭД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6BFF" w:rsidTr="00361335">
        <w:trPr>
          <w:trHeight w:val="426"/>
        </w:trPr>
        <w:tc>
          <w:tcPr>
            <w:tcW w:w="304" w:type="pct"/>
            <w:vMerge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соответствует основной ОКВЭД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D6BFF" w:rsidTr="00361335">
        <w:trPr>
          <w:trHeight w:val="104"/>
        </w:trPr>
        <w:tc>
          <w:tcPr>
            <w:tcW w:w="304" w:type="pct"/>
            <w:vMerge w:val="restart"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 w:val="restar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Участник конкурсного отбора</w:t>
            </w: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поставлен на учет в налоговом органе другого субъекта Российской Федерации, но осуществляет деятельность на территории Костромской области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6BFF" w:rsidTr="00361335">
        <w:trPr>
          <w:trHeight w:val="103"/>
        </w:trPr>
        <w:tc>
          <w:tcPr>
            <w:tcW w:w="304" w:type="pct"/>
            <w:vMerge/>
            <w:shd w:val="clear" w:color="auto" w:fill="auto"/>
          </w:tcPr>
          <w:p w:rsidR="009D6BFF" w:rsidRPr="00F357C4" w:rsidRDefault="009D6BFF" w:rsidP="009D6BF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поставлен на учет в налоговом органе Костромской области и осуществляет деятельность в Костромской области</w:t>
            </w:r>
          </w:p>
        </w:tc>
        <w:tc>
          <w:tcPr>
            <w:tcW w:w="475" w:type="pct"/>
            <w:shd w:val="clear" w:color="auto" w:fill="auto"/>
          </w:tcPr>
          <w:p w:rsidR="009D6BFF" w:rsidRPr="00F357C4" w:rsidRDefault="009D6BFF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9D6BFF" w:rsidRDefault="009D6BFF" w:rsidP="009D6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6BFF" w:rsidRDefault="009D6BFF" w:rsidP="009D6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1AE5" w:rsidRDefault="00271AE5">
      <w:bookmarkStart w:id="0" w:name="_GoBack"/>
      <w:bookmarkEnd w:id="0"/>
    </w:p>
    <w:sectPr w:rsidR="00271AE5" w:rsidSect="009D6BFF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9D6F6A"/>
    <w:multiLevelType w:val="hybridMultilevel"/>
    <w:tmpl w:val="131EA4DA"/>
    <w:lvl w:ilvl="0" w:tplc="AA40F85C">
      <w:start w:val="1"/>
      <w:numFmt w:val="decimal"/>
      <w:lvlText w:val="%1."/>
      <w:lvlJc w:val="left"/>
      <w:pPr>
        <w:ind w:left="720" w:hanging="360"/>
      </w:pPr>
    </w:lvl>
    <w:lvl w:ilvl="1" w:tplc="90AEE8A8">
      <w:start w:val="1"/>
      <w:numFmt w:val="lowerLetter"/>
      <w:lvlText w:val="%2."/>
      <w:lvlJc w:val="left"/>
      <w:pPr>
        <w:ind w:left="1440" w:hanging="360"/>
      </w:pPr>
    </w:lvl>
    <w:lvl w:ilvl="2" w:tplc="F55A38E2">
      <w:start w:val="1"/>
      <w:numFmt w:val="lowerRoman"/>
      <w:lvlText w:val="%3."/>
      <w:lvlJc w:val="right"/>
      <w:pPr>
        <w:ind w:left="2160" w:hanging="180"/>
      </w:pPr>
    </w:lvl>
    <w:lvl w:ilvl="3" w:tplc="8260357C">
      <w:start w:val="1"/>
      <w:numFmt w:val="decimal"/>
      <w:lvlText w:val="%4."/>
      <w:lvlJc w:val="left"/>
      <w:pPr>
        <w:ind w:left="2880" w:hanging="360"/>
      </w:pPr>
    </w:lvl>
    <w:lvl w:ilvl="4" w:tplc="5A909B04">
      <w:start w:val="1"/>
      <w:numFmt w:val="lowerLetter"/>
      <w:lvlText w:val="%5."/>
      <w:lvlJc w:val="left"/>
      <w:pPr>
        <w:ind w:left="3600" w:hanging="360"/>
      </w:pPr>
    </w:lvl>
    <w:lvl w:ilvl="5" w:tplc="607CE710">
      <w:start w:val="1"/>
      <w:numFmt w:val="lowerRoman"/>
      <w:lvlText w:val="%6."/>
      <w:lvlJc w:val="right"/>
      <w:pPr>
        <w:ind w:left="4320" w:hanging="180"/>
      </w:pPr>
    </w:lvl>
    <w:lvl w:ilvl="6" w:tplc="DA92A508">
      <w:start w:val="1"/>
      <w:numFmt w:val="decimal"/>
      <w:lvlText w:val="%7."/>
      <w:lvlJc w:val="left"/>
      <w:pPr>
        <w:ind w:left="5040" w:hanging="360"/>
      </w:pPr>
    </w:lvl>
    <w:lvl w:ilvl="7" w:tplc="9A4E12BA">
      <w:start w:val="1"/>
      <w:numFmt w:val="lowerLetter"/>
      <w:lvlText w:val="%8."/>
      <w:lvlJc w:val="left"/>
      <w:pPr>
        <w:ind w:left="5760" w:hanging="360"/>
      </w:pPr>
    </w:lvl>
    <w:lvl w:ilvl="8" w:tplc="CE7890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FF"/>
    <w:rsid w:val="00271AE5"/>
    <w:rsid w:val="009D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B7C6A-DBFD-42D9-B438-45BC273C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B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BFF"/>
    <w:pPr>
      <w:spacing w:line="264" w:lineRule="auto"/>
      <w:ind w:left="720"/>
      <w:contextualSpacing/>
    </w:pPr>
    <w:rPr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Молчанова Ирина Ивановна</dc:creator>
  <cp:keywords/>
  <dc:description/>
  <cp:lastModifiedBy>Молчанова Ирина Ивановна</cp:lastModifiedBy>
  <cp:revision>1</cp:revision>
  <dcterms:created xsi:type="dcterms:W3CDTF">2022-08-23T15:25:00Z</dcterms:created>
  <dcterms:modified xsi:type="dcterms:W3CDTF">2022-08-23T15:26:00Z</dcterms:modified>
</cp:coreProperties>
</file>