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форма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Конкурсная заявка</w:t>
      </w: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муниципальных образований, </w:t>
      </w:r>
      <w:proofErr w:type="gramStart"/>
      <w:r w:rsidRPr="00D038A6">
        <w:rPr>
          <w:rFonts w:ascii="Times New Roman" w:hAnsi="Times New Roman" w:cs="Times New Roman"/>
          <w:sz w:val="20"/>
          <w:szCs w:val="20"/>
        </w:rPr>
        <w:t>представляемая</w:t>
      </w:r>
      <w:proofErr w:type="gramEnd"/>
      <w:r w:rsidRPr="00D038A6">
        <w:rPr>
          <w:rFonts w:ascii="Times New Roman" w:hAnsi="Times New Roman" w:cs="Times New Roman"/>
          <w:sz w:val="20"/>
          <w:szCs w:val="20"/>
        </w:rPr>
        <w:t xml:space="preserve"> для участия</w:t>
      </w: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во Всероссийском конкурсе "Лучшая муниципальная практика"</w:t>
      </w: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по номинации "муниципальная экономическая политика</w:t>
      </w: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и управление муниципальными финансами"</w:t>
      </w: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038A6">
        <w:rPr>
          <w:rFonts w:ascii="Times New Roman" w:hAnsi="Times New Roman" w:cs="Times New Roman"/>
          <w:sz w:val="20"/>
          <w:szCs w:val="20"/>
        </w:rPr>
        <w:t>(наименование городского округа (городского округа с внутригородским</w:t>
      </w:r>
      <w:proofErr w:type="gramEnd"/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038A6">
        <w:rPr>
          <w:rFonts w:ascii="Times New Roman" w:hAnsi="Times New Roman" w:cs="Times New Roman"/>
          <w:sz w:val="20"/>
          <w:szCs w:val="20"/>
        </w:rPr>
        <w:t xml:space="preserve">делением)/городского поселения/сельского поселения) </w:t>
      </w:r>
      <w:hyperlink r:id="rId5" w:history="1">
        <w:r w:rsidRPr="00D038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&lt;1&gt;</w:t>
        </w:r>
      </w:hyperlink>
      <w:proofErr w:type="gramEnd"/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(наименование субъекта Российской Федерации)</w:t>
      </w: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(наименование категории) </w:t>
      </w:r>
      <w:hyperlink r:id="rId6" w:history="1">
        <w:r w:rsidRPr="00D038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&lt;2&gt;</w:t>
        </w:r>
      </w:hyperlink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657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Общие сведения</w:t>
      </w:r>
    </w:p>
    <w:p w:rsidR="00DD25B8" w:rsidRPr="00D038A6" w:rsidRDefault="00DD25B8" w:rsidP="00657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0"/>
        <w:gridCol w:w="6746"/>
        <w:gridCol w:w="1644"/>
      </w:tblGrid>
      <w:tr w:rsidR="00DD25B8" w:rsidRPr="00D038A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сведений </w:t>
            </w:r>
            <w:hyperlink r:id="rId7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&lt;3&gt;</w:t>
              </w:r>
            </w:hyperlink>
          </w:p>
        </w:tc>
      </w:tr>
      <w:tr w:rsidR="00DD25B8" w:rsidRPr="00D038A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Дата регистрации устава муниципального образования (городского округа (городского округа с внутригородским делением)/городского поселения/сельского поселения)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Численность постоянного населения (городского округа (городского округа с внутригородским делением)/городского поселения/сельского поселения), тыс. человек: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года, соответствующего году подачи заявки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Объем доходов бюджета муниципального образования за финансовый год, предшествующий году подачи заявки, тыс. рублей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Объем расходов бюджета муниципального образования за финансовый год, предшествующий году подачи заявки, тыс. рублей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Объем муниципального долга, тыс. рублей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 подачи заявки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Отношение объема муниципального долга к общему годовому объему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отчислений, %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 подачи заявки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Объем дефицита (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профицита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) бюджета муниципального образования, тыс. рублей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 подачи заявки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Отношение объема дефицита (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профицита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) бюджета муниципального образования к общему годовому объему доходов бюджета муниципального образования без учета утвержденного объема безвозмездных поступлений и (или) поступлений налоговых доходов по дополнительным нормативам отчислений, %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 подачи заявки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Объем кредиторской задолженности муниципального образования, тыс. рублей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в том числе просроченной кредиторской задолженности: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       Раздел I. Описание практик муниципального образования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     Подраздел I. Практика муниципального образования в сфере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              "муниципальная экономическая политика"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94"/>
        <w:gridCol w:w="6293"/>
        <w:gridCol w:w="1984"/>
      </w:tblGrid>
      <w:tr w:rsidR="00DD25B8" w:rsidRPr="00D038A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DD25B8" w:rsidRPr="00D038A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муниципальной практики по одному из следующих направлений: система стратегического управления; развитие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муниципально-частного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партнерства, опыт реализации соответствующих проектов в социальной сфере; развитие малого и среднего предпринимательства, привлечение инвестиций в экономику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Перечень мер, принятых органами местного самоуправления, для внедрения и реализации в муниципальном образовании описываемых практик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реализации описываемых муниципальных практик, которые подтверждаются соответствующими значениями показателей, предусмотренных </w:t>
            </w:r>
            <w:hyperlink r:id="rId8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разделом II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"Управление муниципальными финансами" и </w:t>
            </w:r>
            <w:hyperlink r:id="rId9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разделом III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"Муниципальная экономическая политика" конкурсной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Презентационные материалы (не более 10 слайдов)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         Подраздел II. Практика муниципального образования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           в сфере "управление муниципальными финансами"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94"/>
        <w:gridCol w:w="6293"/>
        <w:gridCol w:w="1984"/>
      </w:tblGrid>
      <w:tr w:rsidR="00DD25B8" w:rsidRPr="00D038A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DD25B8" w:rsidRPr="00D038A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Описание муниципальной практики по одному из следующих направлений: управление бюджетными доходами и расходами; управление муниципальным долгом; бюджетное планирование и исполнение бюджета; финансовое планирование, учет и отчетность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Перечень мер, принятых органами местного самоуправления, для внедрения и реализации в муниципальном образовании описываемых практик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реализации описываемых муниципальных практик, которые подтверждаются соответствующими значениями показателей, предусмотренных </w:t>
            </w:r>
            <w:hyperlink r:id="rId10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разделом II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"Управление муниципальными финансами" и </w:t>
            </w:r>
            <w:hyperlink r:id="rId11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разделом III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"Муниципальная экономическая политика" конкурсной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Презентационные материалы (не более 10 слайдов)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             Показатели, характеризующие деятельность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                  органа местного самоуправления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4"/>
        <w:gridCol w:w="6236"/>
        <w:gridCol w:w="1134"/>
        <w:gridCol w:w="1077"/>
      </w:tblGrid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Исходные данные </w:t>
            </w:r>
            <w:hyperlink r:id="rId12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&lt;4&gt;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</w:t>
            </w:r>
            <w:hyperlink r:id="rId13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&lt;4&gt;</w:t>
              </w:r>
            </w:hyperlink>
          </w:p>
        </w:tc>
      </w:tr>
      <w:tr w:rsidR="00DD25B8" w:rsidRPr="00D038A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раздел II "Управление муниципальными финансами"</w:t>
            </w:r>
          </w:p>
        </w:tc>
      </w:tr>
      <w:tr w:rsidR="00DD25B8" w:rsidRPr="00D038A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 Показатели, характеризующие качество управления бюджетными доходами и расходами</w:t>
            </w: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Средний темп роста налоговых доходов бюджета муниципального образования за три последних отчетных финансовых года,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noProof/>
                <w:position w:val="-8"/>
                <w:sz w:val="20"/>
                <w:szCs w:val="20"/>
                <w:lang w:eastAsia="ru-RU"/>
              </w:rPr>
              <w:drawing>
                <wp:inline distT="0" distB="0" distL="0" distR="0">
                  <wp:extent cx="2488565" cy="207010"/>
                  <wp:effectExtent l="1905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6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;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;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in-2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;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in-3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налоговых доходов бюджета i-го муниципального образования, поступивших по единым нормативам отчислений, установленным Бюджетным </w:t>
            </w:r>
            <w:hyperlink r:id="rId15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(Собрание законодательства Российской Федерации, 1998, N 31, ст. 3823; 2020, N 24, ст. 3747), соответственно, в ____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., ____ г., ____ г. и ____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in-2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in-3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бюджета муниципального образования (за исключением поступлений налоговых доходов по дополнительным нормативам отчислений) к общему объему собственных доходов бюджета муниципального образования в отчетном финансовом году,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налоговых и неналоговых доходов местного бюджета (за исключением поступлений налоговых доходов по дополнительным нормативам отчислений)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общий объем собственных доходов местного бюджета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Средний темп роста неналоговых доходов бюджета муниципального образования за три последних отчетных финансовых года,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noProof/>
                <w:position w:val="-8"/>
                <w:sz w:val="20"/>
                <w:szCs w:val="20"/>
                <w:lang w:eastAsia="ru-RU"/>
              </w:rPr>
              <w:drawing>
                <wp:inline distT="0" distB="0" distL="0" distR="0">
                  <wp:extent cx="2488565" cy="207010"/>
                  <wp:effectExtent l="1905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6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13i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;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;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in-2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;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in-3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неналоговых доходов бюджета i-го муниципального образования, поступивших в бюджет муниципального образования, соответственно, в ____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., ____ г., ____ г. и ____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in-2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in-3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 муниципального образования, формируемых в рамках муниципальных программ, в общем объеме расходов указанного бюджета,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14i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14i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фактический объем расходов бюджета i-го муниципального образования, формируемых в рамках муниципальных программ;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фактический объем расходов бюджета i-го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Отношение объема просроченной кредиторской задолженности бюджета муниципального образования и муниципальных казенных учреждений к объему расходов бюджета муниципального образования, рассчитываемое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15i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15i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просроченной кредиторской задолженности местного бюджета и муниципальных казенных учреждений i-го муниципального образования на 1 января текущего финансового года;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расходов бюджета i-го муниципального образования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Темп роста расходов бюджета муниципального образования на оплату труда в органах местного самоуправления и муниципальных казенных учреждениях,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16i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(A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/ (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D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16i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расходов на оплату труда в органах местного самоуправления (выборные должности и муниципальная служба) и муниципальных казенных учреждениях i-го муниципального образования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расходов на оплату труда в органах местного самоуправления (выборные должности и муниципальная служба) и муниципальных казенных учреждениях i-го муниципального образования в финансовом году, предшествующем отчетному финансовому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среднемесячная начисленная заработная плата по полному кругу организаций по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i-му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муниципальному образованию в среднем за отчетный финансовый год;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среднемесячная начисленная заработная плата по полному кругу организаций по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i-му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муниципальному образованию в среднем за финансовый год, предшествующий отчетному финансовому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Отношение объема субсидий, предоставляемых из бюджета муниципального образования социально ориентированным некоммерческим организациям, к общему объему расходов бюджета муниципального образования, рассчитываемое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17i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17i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субсидий, предоставленных из бюджета i-го муниципального образования социально ориентированным некоммерческим организациям, не являющимся муниципальными учреждениями, на реализацию муниципальных услуг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расходов местного бюджета i-го муниципального образования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Доля средств самообложения граждан и (или) инициативного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бюджетирования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в объеме собственных доходов местного бюджета,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18i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18i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средств самообложения граждан и (или) инициативного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бюджетирования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собственных доходов местного бюджета i-го муниципального образования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объема расходных обязательств муниципального образования, не связанных с решением вопросов местного значения и исполнением полномочий по указанным вопросам, к объему расходных обязательств по вопросам местного значения </w:t>
            </w:r>
            <w:hyperlink r:id="rId17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&lt;5&gt;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 рассчитываемое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19i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(A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/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19i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расходных обязательств муниципального образования на решение вопросов местного значения и полномочий i-го муниципального образования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расходных обязательств и полномочий, не связанных с решением вопросов местного значения i-го муниципального образования в отчетном финансовом году (без учета объема расходных обязательств, осуществляемых за счет субвенций)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недополученных доходов по местным налогам в результате действия налоговых льгот, установленных представительным органом местного самоуправления муниципального образования в соответствии с Налоговым </w:t>
            </w:r>
            <w:hyperlink r:id="rId18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(Собрание законодательства Российской Федерации, 1998, N 31, ст. 3824; 2020, N 14, ст. 2032), к общему объему поступлений по местным налогам, рассчитываемое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110i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110i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недополученных доходов по местным налогам в результате действия налоговых льгот, установленных представительными органами местного самоуправления i-го муниципального образования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общий объем доходов от поступлений по местным налогам в i-м муниципальном образовании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Эффективность управления финансовыми вложениями, осуществляемыми за счет средств местного бюджета,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i-му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муниципальному образованию,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балансовая стоимость акций, находящихся в собственности i-го муниципального образования, и иных форм участия в капитале хозяйственных товариществ и обществ на начало отчетного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Доля расходов бюджета муниципального образования на финансовое обеспечение предоставления услуг в сфере образования, 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культуры, физической культуры и спорта, оказываемых автономными учреждениями и немуниципальными организациями, в общем объеме расходов бюджета муниципального образования на финансовое обеспечение предоставления услуг в сфере образования, культуры, физической культуры и спорта,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расходов бюджета i-го муниципального образования на финансовое обеспечение предоставления услуг в сфере образования, культуры, физической культуры и спорта, оказываемых автономными учреждениями и немуниципальными организациями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расходы бюджета i-го муниципального образования на финансовое обеспечение предоставления услуг в сфере образования, культуры, физической культуры и спорта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Показатели, характеризующие качество управления муниципальным долгом </w:t>
            </w:r>
            <w:hyperlink r:id="rId19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&lt;6&gt;</w:t>
              </w:r>
            </w:hyperlink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Равномерность распределения расходов на погашение муниципального долга за последние три года,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21i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(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maxi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mini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si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максимальный годовой объем погашения муниципального долга i-го муниципального образования за три последних отчетных финансовых года;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mini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минимальный годовой объем погашения муниципального долга i-го муниципального образования за три последних отчетных финансовых года;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средний годовой объем погашения муниципального долга i-го муниципального образования за три последних отчетных финансовых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mini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Отношение муниципальных заимствований, привлеченных в целях финансирования инвестиционных расходов, к общему объему привлеченных муниципальных заимствований, рассчитываемое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в отчетном финансовом году муниципальных заимствований, привлеченных в целях финансирования инвестиционных расходов, i-го муниципального образования;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привлеченных в отчетном финансовом году муниципальных заимствований i-го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Объем просроченной задолженности по долговым обязательствам муниципального образования, тыс. руб. </w:t>
            </w:r>
            <w:hyperlink r:id="rId20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&lt;7&gt;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Отношение объема выплат по муниципальным гарантиям к общему объему предоставленных муниципальным образованием гарантий, рассчитываемое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24i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24i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выплат по муниципальным гарантиям i-го муниципального образования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муниципального долга по предоставленным i-м муниципальным образованием гарантиям на 1 января отчетного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Показатели, характеризующие качество бюджетного планирования и исполнения бюджета</w:t>
            </w: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Наличие бюджета муниципального образования на трехлетний период (очередной финансовый год и плановый период) </w:t>
            </w:r>
            <w:hyperlink r:id="rId21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&lt;8&gt;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Отношение поступивших доходов бюджета муниципального образования по доходам без учета безвозмездных поступлений от бюджетов бюджетной системы Российской Федерации к объему доходов, первоначально утвержденному решением о местном бюджете, рассчитываемое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32i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|A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| / 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доходов, поступивших в бюджет i-го муниципального образования без учета безвозмездных поступлений от бюджетов бюджетной системы Российской Федерации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первоначально утвержденный решением о бюджете i-го муниципального образования объем доходов местного бюджета на отчетный финансовый год без учета безвозмездных поступлений от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бюджета муниципального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по расходам относительно первоначально утвержденного бюджета (за исключением расходов за счет межбюджетных трансфертов), рассчитываемое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33i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|A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| / 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33i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фактический объем расходов бюджета i-го муниципального образования (за исключением расходов за счет межбюджетных трансфертов)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первоначально утвержденный решением о бюджете i-го муниципального образования объем расходов местного бюджета (за исключением расходов за счет межбюджетных трансфертов)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объема расходов местного бюджета в IV квартале от среднего объема расходов за I - III кварталы (без учета субсидий, субвенций и иных межбюджетных трансфертов, имеющих целевое назначение) </w:t>
            </w:r>
            <w:hyperlink r:id="rId22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&lt;9&gt;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 рассчитываемое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34i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((A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/ 3),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34i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расходов бюджета i-го муниципального образования в I, II, III и IV кварталах отчетного финансового года соответственно (без учета субсидий, субвенций и иных межбюджетных трансфертов, имеющих целевое назначение)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официальных сайтах органов местного самоуправления и (или) в средствах массовой информации решения о местном бюджете и годового отчета об исполнении местного бюджета </w:t>
            </w:r>
            <w:hyperlink r:id="rId23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&lt;10&gt;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официальных сайтах органов местного самоуправления и (или) в средствах массовой информации отчета о результатах деятельности финансового органа муниципального образования за отчетный финансовый год </w:t>
            </w:r>
            <w:hyperlink r:id="rId24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&lt;10&gt;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Доля от общего числа муниципальных учреждений, в отношении которых органы местного самоуправления осуществляют функции и полномочия учредителя, информация о которых размещена на официальном сайте </w:t>
            </w:r>
            <w:hyperlink r:id="rId25" w:history="1">
              <w:r w:rsidRPr="00D038A6">
                <w:rPr>
                  <w:rFonts w:ascii="Times New Roman" w:hAnsi="Times New Roman" w:cs="Times New Roman"/>
                  <w:sz w:val="20"/>
                  <w:szCs w:val="20"/>
                </w:rPr>
                <w:t>www.bus.gov.ru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в информационно-телекоммуникационной сети "Интернет" (далее - Интернет),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37i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37i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муниципальных учреждений i-го муниципального образования, информация о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результатах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которых размещена на официальном сайте </w:t>
            </w:r>
            <w:hyperlink r:id="rId26" w:history="1">
              <w:r w:rsidRPr="00D038A6">
                <w:rPr>
                  <w:rFonts w:ascii="Times New Roman" w:hAnsi="Times New Roman" w:cs="Times New Roman"/>
                  <w:sz w:val="20"/>
                  <w:szCs w:val="20"/>
                </w:rPr>
                <w:t>www.bus.gov.ru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в Интернете;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муниципальных учреждений i-го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сайте органа местного самоуправления и (или) в средствах массовой информации проекта бюджета (бюджета) для граждан (с элементами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инфографики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hyperlink r:id="rId27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&lt;10&gt;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оценки качества финансового менеджмента главных распорядителей средств бюджета муниципального образования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и формирование их ежегодного рейтинга на основе методики, утвержденной муниципальным правовым актом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4. Показатели, характеризующие кадровый состав финансового органа муниципального образования</w:t>
            </w: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Доля сотрудников, имеющих высшее образование, в фактической штатной численности финансового органа муниципального образования,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в отчетном финансовом году сотрудников, имеющих высшее образование, финансового органа i-го муниципального образования;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штатная численность финансового органа i-го муниципального образования на 1 января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Доля сотрудников, имеющих ученую степень, в штатной численности финансового органа муниципального образования,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в отчетном финансовом году сотрудников, имеющих ученую степень, финансового органа i-го муниципального образования;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фактическая на 1 января текущего года штатная численность финансового органа i-го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Доля сотрудников, работающих в финансовом органе муниципального образования более 3 лет,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43i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43i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на 1 января текущего года сотрудников финансового органа, работающих в финансовом органе более 3 лет;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фактическая штатная численность финансового органа i-го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раздел III "Муниципальная экономическая политика"</w:t>
            </w:r>
          </w:p>
        </w:tc>
      </w:tr>
      <w:tr w:rsidR="00DD25B8" w:rsidRPr="00D038A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5. Показатели, характеризующие лучшую практику формирования системы стратегического управления муниципальным образованием </w:t>
            </w:r>
            <w:hyperlink r:id="rId28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&lt;8&gt;</w:t>
              </w:r>
            </w:hyperlink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Наличие стратегии социально-экономического развития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Наличие плана мероприятий по реализации стратегии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Наличие программ муниципального образования, разрабатываемых (реализуемых) в рамках стратегии социально-экономического развития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Наличие акта об утверждении порядка осуществления стратегического планирования в муниципальном образовании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Наличие структурных подразделений администрации муниципального образования, уполномоченных на решение вопросов в области стратегического планирования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6. Показатели, характеризующие лучшее муниципальное образование по уровню развития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муниципально-частного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партнерства (МЧП) и опыту реализации проектов МЧП в социальной сфере</w:t>
            </w: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уполномоченного органа в сфере МЧП, в том числе в сфере концессионных соглашений (КС), либо специализированной структуры, ответственной за сопровождение проектов МЧП </w:t>
            </w:r>
            <w:hyperlink r:id="rId29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&lt;8&gt;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 органах местного самоуправления специалистов, ранее участвующих в рассмотрении и реализации проектов МЧП </w:t>
            </w:r>
            <w:hyperlink r:id="rId30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 открытом доступе перечня объектов в муниципальном образовании, в отношении которых планируется заключение соглашений о МЧП, КС </w:t>
            </w:r>
            <w:hyperlink r:id="rId31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&lt;10&gt;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Наличие льготных условий (налоговые льготы, иные меры поддержки частных партнеров) </w:t>
            </w:r>
            <w:hyperlink r:id="rId32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&lt;10&gt;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Опыт реализации проектов МЧП в муниципальном образовании </w:t>
            </w:r>
            <w:hyperlink r:id="rId33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6.5.1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Проект реализуется на основании Федерального </w:t>
            </w:r>
            <w:hyperlink r:id="rId34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закона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от 13 июля 2015 г. N 224-ФЗ "О государственно-частном партнерстве,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муниципально-частном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4350;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2019 N 30, ст. 4140) или Федерального </w:t>
            </w:r>
            <w:hyperlink r:id="rId35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закона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от 21 июля 2005 г. N 115-ФЗ "О концессионных соглашениях" (Собрание законодательства Российской Федерации, 2005, N 30, ст. 3126; 2018, N 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53, ст. 8451) </w:t>
            </w:r>
            <w:hyperlink r:id="rId36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&lt;13&gt;</w:t>
              </w:r>
            </w:hyperlink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6.5.2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Стадия реализации проекта МЧП: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эксплуатация;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строительство и (или) реконструкция (ремонт);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финансовое и коммерческое закрытие;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конкурсные процедуры;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принято решение о заключении соглашения о реализации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6.5.3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Доля частных инвестиций в общей стоимости проекта МЧП,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6.5.4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Срок реализации проекта МЧП (срок действия КС)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 Показатели, характеризующие повышение уровня развития малого и среднего предпринимательства (МСП) и привлечение инвестиций в экономику муниципального образования</w:t>
            </w: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Отношение числа граждан, занятых в экономике муниципального образования, к численности населения муниципального образования в трудоспособном возрасте за отчетный финансовый год (мужчины 16 - 65 лет, женщины 16 - 60 лет), рассчитываемое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занят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эк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актив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занят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число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занятых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в экономике муниципального образования;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эк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актив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исленность населения муниципального образования в трудоспособном возрасте (мужчины 16 - 65 лет, женщины 16 - 60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занят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эк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актив.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Коэффициент напряженности на рынке труда на 1 января года подачи заявки,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безработ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вак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мест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безработ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число незанятых граждан, зарегистрированных в службах занятости;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вак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мест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вакантные рабочие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безработ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вак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мест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 на 1 января года подачи заявки,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73i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задолж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опл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труд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73i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задолж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просроченная кредиторская задолженность по оплате труда (включая начисления на оплату труда) муниципальных учреждений;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опл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труд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бщий объем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задолж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опл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труд.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Прирост высокопроизводительных рабочих мест (процентов к предыдущему году),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74i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ВПРМ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ВПРМ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74i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ВПРМ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высокопроизводительных рабочих мест за отчетный год;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ВПРМ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высокопроизводительных рабочих мест за предыдущий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ВПРМ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ВПРМ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действующей муниципальной программы поддержки и развития МСП </w:t>
            </w:r>
            <w:hyperlink r:id="rId37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&lt;8&gt;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Объем инвестиций в основной капитал (за исключением бюджетных средств) в расчете на 1 жителя в отчетном финансовом году,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76i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инвест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нас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76i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инвест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инвестиций в основной капитал (за исключением бюджетных средств);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нас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постоянно проживающего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инвест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нас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Темп роста числа субъектов МСП в расчете на численность населения за три последних отчетных финансовых года,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noProof/>
                <w:position w:val="-23"/>
                <w:sz w:val="20"/>
                <w:szCs w:val="20"/>
                <w:lang w:eastAsia="ru-RU"/>
              </w:rPr>
              <w:drawing>
                <wp:inline distT="0" distB="0" distL="0" distR="0">
                  <wp:extent cx="1304290" cy="40576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405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77i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субъектов МСП за отчетный период;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субъектов МСП за год, предшествующий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отчетному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j-2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субъектов МСП за год, предшествующий на 2 года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отчетному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j-3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субъектов МСП за год, предшествующий на 3 года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отчетному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j-2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j-3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Рост среднегодовой численности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занятых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в экономике за отчетный год по сравнению с уровнем года, предшествующего отчетному,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78i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V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зан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V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зан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 i-1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78i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зан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среднегодовая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занятых в экономике за отчетный год;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зан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среднегодовая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занятых в экономике за предыдущий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зан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зан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Рост оборота малых и средних предприятий за отчетный год по сравнению с уровнем года, предшествующего отчетному,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79i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V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V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 i-1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79i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оборот малых и средних предприятий за отчетный год;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оборот малых и средних предприятий за отчетный год за предыдущий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Доля зарегистрированных в течение отчетного года субъектов МСП в рамках муниципальной программы развития МСП,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710i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поддержка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710i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поддержка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субъектов МСП в рамках муниципальной программы развития МСП;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зарегистрированных в течение отчетного года субъектов МСП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поддержка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7.11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Общий объем расходов бюджета муниципального образования на развитие и поддержку МСП в расчете на одного жителя муниципального образования за отчетный финансовый год,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711i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расх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бюджета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нас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711i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расх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бюджета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общий объем расходов бюджета муниципального образования на развитие и поддержку МСП;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нас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постоянно проживающего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расх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бюджета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нас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населения деятельностью органов местного самоуправления (процент от числа опрошенных) </w:t>
            </w:r>
            <w:hyperlink r:id="rId39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&lt;14&gt;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noProof/>
                <w:position w:val="-16"/>
                <w:sz w:val="20"/>
                <w:szCs w:val="20"/>
                <w:lang w:eastAsia="ru-RU"/>
              </w:rPr>
              <w:drawing>
                <wp:inline distT="0" distB="0" distL="0" distR="0">
                  <wp:extent cx="986155" cy="30988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удовлетворенность населения организацией транспортного обслуживания в муниципальном образовании (процент от числа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опрошенных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удовлетворенность населения качеством автомобильных дорог в муниципальном образовании (процент от числа опрошенных);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удовлетворенность населения жилищно-коммунальными услугами: уровнем организации теплоснабжения (снабжения населения топливом), водоснабжения (водоотведения), электроснабжения, газоснабжения (процент от числа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опрошенных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8. Показатели, характеризующие повышение уровня транспортной доступности</w:t>
            </w: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Рост доли протяженности автомобильных дорог общего пользования местного значения (с твердым покрытием), отвечающих нормативным требованиям, за отчетный год по сравнению с уровнем года, предшествующего отчетному,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дор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.о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тв.треб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дор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.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ответ.треб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дор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.о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тв.треб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протяженность автомобильных дорог общего пользования местного значения, отвечающих нормативным 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требованиям, за отчетный год, км;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дор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.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ответ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.т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реб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протяженность автомобильных дорог общего пользования местного значения, отвечающих нормативным требованиям за предыдущий год,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дор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.о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тв.треб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дор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.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ответ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.т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реб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(с твердым покрытием) на 1 января года подачи заявки,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дор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.н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енорм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L,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дор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.н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енорм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протяженность автомобильных дорог общего пользования местного значения, не отвечающих нормативным требованиям, км;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L - общая протяженность автомобильных дорог общего пользования местного значения,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дор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.н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енорм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L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Общий объем расходов бюджета муниципального образования на дорожное хозяйство в расчете на 1 жителя на 1 января года подачи заявки,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83i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расх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нас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83i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расх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общий объем расходов бюджета муниципального образования на дорожное хозяйство;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нас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постоянно проживающего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расх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нас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</w:t>
      </w:r>
      <w:r w:rsidRPr="00D038A6">
        <w:rPr>
          <w:rFonts w:ascii="Times New Roman" w:hAnsi="Times New Roman" w:cs="Times New Roman"/>
          <w:sz w:val="20"/>
          <w:szCs w:val="20"/>
        </w:rPr>
        <w:t>Достоверность  представленной  в  составе  конкурсной заявки информации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подтверждаю.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Глава муниципального образования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м.п. (при наличии)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(дата)                                  </w:t>
      </w:r>
      <w:r w:rsidR="00D038A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D038A6">
        <w:rPr>
          <w:rFonts w:ascii="Times New Roman" w:hAnsi="Times New Roman" w:cs="Times New Roman"/>
          <w:sz w:val="20"/>
          <w:szCs w:val="20"/>
        </w:rPr>
        <w:t>(подпись) (расшифровка подписи)</w:t>
      </w:r>
    </w:p>
    <w:p w:rsidR="00D038A6" w:rsidRDefault="00D038A6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38A6" w:rsidRDefault="00D038A6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38A6" w:rsidRPr="00D038A6" w:rsidRDefault="00D038A6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СОГЛАСОВАНО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___________________________________________________________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(наименование должности визирующего должностного лица) </w:t>
      </w:r>
      <w:hyperlink r:id="rId41" w:history="1">
        <w:r w:rsidRPr="00D038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&lt;15&gt;</w:t>
        </w:r>
      </w:hyperlink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Подпись                                           (расшифровка подписи)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038A6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D038A6" w:rsidRDefault="00D038A6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D038A6" w:rsidRDefault="00D038A6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038A6" w:rsidRDefault="00D038A6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lastRenderedPageBreak/>
        <w:t>&lt;1</w:t>
      </w:r>
      <w:proofErr w:type="gramStart"/>
      <w:r w:rsidRPr="00D038A6">
        <w:rPr>
          <w:rFonts w:ascii="Times New Roman" w:hAnsi="Times New Roman" w:cs="Times New Roman"/>
          <w:sz w:val="20"/>
          <w:szCs w:val="20"/>
        </w:rPr>
        <w:t>&gt; Д</w:t>
      </w:r>
      <w:proofErr w:type="gramEnd"/>
      <w:r w:rsidRPr="00D038A6">
        <w:rPr>
          <w:rFonts w:ascii="Times New Roman" w:hAnsi="Times New Roman" w:cs="Times New Roman"/>
          <w:sz w:val="20"/>
          <w:szCs w:val="20"/>
        </w:rPr>
        <w:t>ля городского поселения, сельского поселения также указывается наименование муниципального района.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D038A6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D038A6">
        <w:rPr>
          <w:rFonts w:ascii="Times New Roman" w:hAnsi="Times New Roman" w:cs="Times New Roman"/>
          <w:sz w:val="20"/>
          <w:szCs w:val="20"/>
        </w:rPr>
        <w:t xml:space="preserve"> зависимости от вида категории муниципального образования указывается "городские округа (городские округа с внутригородским делением) и городские поселения"; "сельские поселения").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D038A6">
        <w:rPr>
          <w:rFonts w:ascii="Times New Roman" w:hAnsi="Times New Roman" w:cs="Times New Roman"/>
          <w:sz w:val="20"/>
          <w:szCs w:val="20"/>
        </w:rPr>
        <w:t>&gt; Н</w:t>
      </w:r>
      <w:proofErr w:type="gramEnd"/>
      <w:r w:rsidRPr="00D038A6">
        <w:rPr>
          <w:rFonts w:ascii="Times New Roman" w:hAnsi="Times New Roman" w:cs="Times New Roman"/>
          <w:sz w:val="20"/>
          <w:szCs w:val="20"/>
        </w:rPr>
        <w:t xml:space="preserve">е заполняется при отсутствии соответствующих сведений в отношении </w:t>
      </w:r>
      <w:hyperlink r:id="rId42" w:history="1">
        <w:r w:rsidRPr="00D038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позиций 5</w:t>
        </w:r>
      </w:hyperlink>
      <w:r w:rsidRPr="00D038A6">
        <w:rPr>
          <w:rFonts w:ascii="Times New Roman" w:hAnsi="Times New Roman" w:cs="Times New Roman"/>
          <w:sz w:val="20"/>
          <w:szCs w:val="20"/>
        </w:rPr>
        <w:t xml:space="preserve"> - </w:t>
      </w:r>
      <w:hyperlink r:id="rId43" w:history="1">
        <w:r w:rsidRPr="00D038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9</w:t>
        </w:r>
      </w:hyperlink>
      <w:r w:rsidRPr="00D038A6">
        <w:rPr>
          <w:rFonts w:ascii="Times New Roman" w:hAnsi="Times New Roman" w:cs="Times New Roman"/>
          <w:sz w:val="20"/>
          <w:szCs w:val="20"/>
        </w:rPr>
        <w:t>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&lt;4&gt; Единицы измерения значений показателей указываются соответственно в абсолютной (с тремя знаками после запятой) или относительной (без указания процентного соотношения) величинах. При расчете значений показателей в соответствии с приведенными формулами указываются исходные данные и произведенные расчеты.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&lt;5&gt; Информация из реестра расходных обязательств муниципального образования, предусмотренного </w:t>
      </w:r>
      <w:hyperlink r:id="rId44" w:history="1">
        <w:r w:rsidRPr="00D038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статьей 87</w:t>
        </w:r>
      </w:hyperlink>
      <w:r w:rsidRPr="00D038A6">
        <w:rPr>
          <w:rFonts w:ascii="Times New Roman" w:hAnsi="Times New Roman" w:cs="Times New Roman"/>
          <w:sz w:val="20"/>
          <w:szCs w:val="20"/>
        </w:rPr>
        <w:t xml:space="preserve"> Бюджетного кодекса Российской Федерации (Собрание законодательства Российской Федерации, 1998, N 31, ст. 3823; 2019, N 31, ст. 4466).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&lt;6</w:t>
      </w:r>
      <w:proofErr w:type="gramStart"/>
      <w:r w:rsidRPr="00D038A6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D038A6">
        <w:rPr>
          <w:rFonts w:ascii="Times New Roman" w:hAnsi="Times New Roman" w:cs="Times New Roman"/>
          <w:sz w:val="20"/>
          <w:szCs w:val="20"/>
        </w:rPr>
        <w:t xml:space="preserve"> случае отсутствия у муниципального образования долговых обязательств, муниципальных заимствований и расходов на погашение муниципального долга значения </w:t>
      </w:r>
      <w:hyperlink r:id="rId45" w:history="1">
        <w:r w:rsidRPr="00D038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показателей 2.1</w:t>
        </w:r>
      </w:hyperlink>
      <w:r w:rsidRPr="00D038A6">
        <w:rPr>
          <w:rFonts w:ascii="Times New Roman" w:hAnsi="Times New Roman" w:cs="Times New Roman"/>
          <w:sz w:val="20"/>
          <w:szCs w:val="20"/>
        </w:rPr>
        <w:t xml:space="preserve"> - </w:t>
      </w:r>
      <w:hyperlink r:id="rId46" w:history="1">
        <w:r w:rsidRPr="00D038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2.4</w:t>
        </w:r>
      </w:hyperlink>
      <w:r w:rsidRPr="00D038A6">
        <w:rPr>
          <w:rFonts w:ascii="Times New Roman" w:hAnsi="Times New Roman" w:cs="Times New Roman"/>
          <w:sz w:val="20"/>
          <w:szCs w:val="20"/>
        </w:rPr>
        <w:t xml:space="preserve"> устанавливаются равными 1.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&lt;7</w:t>
      </w:r>
      <w:proofErr w:type="gramStart"/>
      <w:r w:rsidRPr="00D038A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038A6">
        <w:rPr>
          <w:rFonts w:ascii="Times New Roman" w:hAnsi="Times New Roman" w:cs="Times New Roman"/>
          <w:sz w:val="20"/>
          <w:szCs w:val="20"/>
        </w:rPr>
        <w:t>казывается источник информации.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&lt;8</w:t>
      </w:r>
      <w:proofErr w:type="gramStart"/>
      <w:r w:rsidRPr="00D038A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038A6">
        <w:rPr>
          <w:rFonts w:ascii="Times New Roman" w:hAnsi="Times New Roman" w:cs="Times New Roman"/>
          <w:sz w:val="20"/>
          <w:szCs w:val="20"/>
        </w:rPr>
        <w:t>казывается информация в формате "да/(нет)", в случае положительного ответа приводятся реквизиты правового акта муниципального образования.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&lt;9</w:t>
      </w:r>
      <w:proofErr w:type="gramStart"/>
      <w:r w:rsidRPr="00D038A6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D038A6">
        <w:rPr>
          <w:rFonts w:ascii="Times New Roman" w:hAnsi="Times New Roman" w:cs="Times New Roman"/>
          <w:sz w:val="20"/>
          <w:szCs w:val="20"/>
        </w:rPr>
        <w:t>ри расчете показателя используются данные из отчетов об исполнении местного бюджета за I, II, III кварталы отчетного финансового года и годового отчета об исполнении местного бюджета за отчетный финансовый год.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&lt;10</w:t>
      </w:r>
      <w:proofErr w:type="gramStart"/>
      <w:r w:rsidRPr="00D038A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038A6">
        <w:rPr>
          <w:rFonts w:ascii="Times New Roman" w:hAnsi="Times New Roman" w:cs="Times New Roman"/>
          <w:sz w:val="20"/>
          <w:szCs w:val="20"/>
        </w:rPr>
        <w:t>казывается информация в формате "да/(нет)", в случае положительного ответа приводятся ссылки на соответствующие страницы в Интернете и (или) в средствах массовой информации.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&lt;11</w:t>
      </w:r>
      <w:proofErr w:type="gramStart"/>
      <w:r w:rsidRPr="00D038A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038A6">
        <w:rPr>
          <w:rFonts w:ascii="Times New Roman" w:hAnsi="Times New Roman" w:cs="Times New Roman"/>
          <w:sz w:val="20"/>
          <w:szCs w:val="20"/>
        </w:rPr>
        <w:t>казывается информация в формате "да/(нет)", в случае положительного ответа факт наличия указанных специалистов подтверждается копией диплома о профессиональной переподготовке, копией удостоверения о повышении квалификации, копией сертификатов о прохождении соответствующих обучающих семинаров в организациях, осуществляющих образовательную деятельность в сфере ГЧП (МЧП).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&lt;12&gt; Сведения предоставляются не более чем по 5 проектам, отдельно по каждому проекту.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&lt;13</w:t>
      </w:r>
      <w:proofErr w:type="gramStart"/>
      <w:r w:rsidRPr="00D038A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038A6">
        <w:rPr>
          <w:rFonts w:ascii="Times New Roman" w:hAnsi="Times New Roman" w:cs="Times New Roman"/>
          <w:sz w:val="20"/>
          <w:szCs w:val="20"/>
        </w:rPr>
        <w:t>казывается информация в формате "да/(нет)", в случае отрицательного ответа приводятся реквизиты правового акта муниципального образования.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038A6">
        <w:rPr>
          <w:rFonts w:ascii="Times New Roman" w:hAnsi="Times New Roman" w:cs="Times New Roman"/>
          <w:sz w:val="20"/>
          <w:szCs w:val="20"/>
        </w:rPr>
        <w:t xml:space="preserve">&lt;14&gt; Опрос проводится в соответствии с </w:t>
      </w:r>
      <w:hyperlink r:id="rId47" w:history="1">
        <w:r w:rsidRPr="00D038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постановлением</w:t>
        </w:r>
      </w:hyperlink>
      <w:r w:rsidRPr="00D038A6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17 декабря 2012 г. N 1317 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городских округов и муниципальных районов" и подпунктом "и" пункта 2 Указа Президента Российской Федерации от 7 мая 2012 г. N 601</w:t>
      </w:r>
      <w:proofErr w:type="gramEnd"/>
      <w:r w:rsidRPr="00D038A6">
        <w:rPr>
          <w:rFonts w:ascii="Times New Roman" w:hAnsi="Times New Roman" w:cs="Times New Roman"/>
          <w:sz w:val="20"/>
          <w:szCs w:val="20"/>
        </w:rPr>
        <w:t xml:space="preserve"> "Об основных направлениях совершенствования системы государственного управления" (Собрание законодательства Российской Федерации, 2012, N 52, ст. 7490; 2018, N 35, ст. 5547).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&lt;15&gt; Высшим должностным лицом (руководителем высшего исполнительного органа государственной власти) субъекта Российской Федерации визируются сведения о значениях показателей для оценки конкурсной заявки, представляемой по результатам регионального этапа конкурса в федеральную конкурсную комиссию по организации и проведению Всероссийского конкурса "Лучшая муниципальная практика" (далее - Комиссия).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038A6">
        <w:rPr>
          <w:rFonts w:ascii="Times New Roman" w:hAnsi="Times New Roman" w:cs="Times New Roman"/>
          <w:sz w:val="20"/>
          <w:szCs w:val="20"/>
        </w:rPr>
        <w:t xml:space="preserve">В случае если конкурсная заявка направляется в Комиссию Ассоциацией "Единое общероссийское объединение муниципальных образований (Конгресс)" или Общероссийской общественной организацией "Всероссийский Совет местного самоуправления" в порядке, предусмотренном </w:t>
      </w:r>
      <w:hyperlink r:id="rId48" w:history="1">
        <w:r w:rsidRPr="00D038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пунктом 8</w:t>
        </w:r>
      </w:hyperlink>
      <w:r w:rsidRPr="00D038A6">
        <w:rPr>
          <w:rFonts w:ascii="Times New Roman" w:hAnsi="Times New Roman" w:cs="Times New Roman"/>
          <w:sz w:val="20"/>
          <w:szCs w:val="20"/>
        </w:rPr>
        <w:t xml:space="preserve"> Положения о Всероссийском конкурсе "Лучшая муниципальная практика", утвержденного постановлением Правительства Российской Федерации от 18 августа 2016 г. N 815 (Собрание законодательства Российской Федерации, 2016, N 35, ст. 5335;</w:t>
      </w:r>
      <w:proofErr w:type="gramEnd"/>
      <w:r w:rsidRPr="00D038A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038A6">
        <w:rPr>
          <w:rFonts w:ascii="Times New Roman" w:hAnsi="Times New Roman" w:cs="Times New Roman"/>
          <w:sz w:val="20"/>
          <w:szCs w:val="20"/>
        </w:rPr>
        <w:t>2020, N 23, ст. 3650), сведения о значениях показателей для оценки конкурсной заявки муниципального образования визируются должностным лицом указанной некоммерческой организации, уполномоченным действовать от ее имени без доверенности.</w:t>
      </w:r>
      <w:proofErr w:type="gramEnd"/>
    </w:p>
    <w:sectPr w:rsidR="00DD25B8" w:rsidRPr="00D038A6" w:rsidSect="00C35D2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25B8"/>
    <w:rsid w:val="000842E8"/>
    <w:rsid w:val="00482362"/>
    <w:rsid w:val="004E41EA"/>
    <w:rsid w:val="0065721D"/>
    <w:rsid w:val="00755E53"/>
    <w:rsid w:val="00AE339B"/>
    <w:rsid w:val="00AF53FD"/>
    <w:rsid w:val="00B01D58"/>
    <w:rsid w:val="00D038A6"/>
    <w:rsid w:val="00DD25B8"/>
    <w:rsid w:val="00E30779"/>
    <w:rsid w:val="00F9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l%20Par724%20%20" TargetMode="External"/><Relationship Id="rId18" Type="http://schemas.openxmlformats.org/officeDocument/2006/relationships/hyperlink" Target="consultantplus://offline/ref=4C933805E611402FEFC79FCBE3889365CB13627D833CE44F9AE7F75DA7071ADA13FA84BCD0DBB9E5BF9FEB868EQAn0J%20" TargetMode="External"/><Relationship Id="rId26" Type="http://schemas.openxmlformats.org/officeDocument/2006/relationships/hyperlink" Target="www.bus.gov.ru" TargetMode="External"/><Relationship Id="rId39" Type="http://schemas.openxmlformats.org/officeDocument/2006/relationships/hyperlink" Target="l%20Par734%20%20" TargetMode="External"/><Relationship Id="rId3" Type="http://schemas.openxmlformats.org/officeDocument/2006/relationships/settings" Target="settings.xml"/><Relationship Id="rId21" Type="http://schemas.openxmlformats.org/officeDocument/2006/relationships/hyperlink" Target="l%20Par728%20%20" TargetMode="External"/><Relationship Id="rId34" Type="http://schemas.openxmlformats.org/officeDocument/2006/relationships/hyperlink" Target="consultantplus://offline/ref=4C933805E611402FEFC79FCBE3889365CB136776833DE44F9AE7F75DA7071ADA13FA84BCD0DBB9E5BF9FEB868EQAn0J%20" TargetMode="External"/><Relationship Id="rId42" Type="http://schemas.openxmlformats.org/officeDocument/2006/relationships/hyperlink" Target="l%20Par74%20%20" TargetMode="External"/><Relationship Id="rId47" Type="http://schemas.openxmlformats.org/officeDocument/2006/relationships/hyperlink" Target="consultantplus://offline/ref=4C933805E611402FEFC79FCBE3889365CB14607F8230E44F9AE7F75DA7071ADA13FA84BCD0DBB9E5BF9FEB868EQAn0J%20" TargetMode="External"/><Relationship Id="rId50" Type="http://schemas.openxmlformats.org/officeDocument/2006/relationships/theme" Target="theme/theme1.xml"/><Relationship Id="rId7" Type="http://schemas.openxmlformats.org/officeDocument/2006/relationships/hyperlink" Target="l%20Par723%20%20" TargetMode="External"/><Relationship Id="rId12" Type="http://schemas.openxmlformats.org/officeDocument/2006/relationships/hyperlink" Target="l%20Par724%20%20" TargetMode="External"/><Relationship Id="rId17" Type="http://schemas.openxmlformats.org/officeDocument/2006/relationships/hyperlink" Target="l%20Par725%20%20" TargetMode="External"/><Relationship Id="rId25" Type="http://schemas.openxmlformats.org/officeDocument/2006/relationships/hyperlink" Target="www.bus.gov.ru" TargetMode="External"/><Relationship Id="rId33" Type="http://schemas.openxmlformats.org/officeDocument/2006/relationships/hyperlink" Target="l%20Par732%20%20" TargetMode="External"/><Relationship Id="rId38" Type="http://schemas.openxmlformats.org/officeDocument/2006/relationships/image" Target="media/image3.wmf"/><Relationship Id="rId46" Type="http://schemas.openxmlformats.org/officeDocument/2006/relationships/hyperlink" Target="l%20Par341%20%20" TargetMode="Externa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hyperlink" Target="l%20Par727%20%20" TargetMode="External"/><Relationship Id="rId29" Type="http://schemas.openxmlformats.org/officeDocument/2006/relationships/hyperlink" Target="l%20Par728%20%20" TargetMode="External"/><Relationship Id="rId41" Type="http://schemas.openxmlformats.org/officeDocument/2006/relationships/hyperlink" Target="l%20Par735%20%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l%20Par722%20%20" TargetMode="External"/><Relationship Id="rId11" Type="http://schemas.openxmlformats.org/officeDocument/2006/relationships/hyperlink" Target="l%20Par460%20%20" TargetMode="External"/><Relationship Id="rId24" Type="http://schemas.openxmlformats.org/officeDocument/2006/relationships/hyperlink" Target="l%20Par730%20%20" TargetMode="External"/><Relationship Id="rId32" Type="http://schemas.openxmlformats.org/officeDocument/2006/relationships/hyperlink" Target="l%20Par730%20%20" TargetMode="External"/><Relationship Id="rId37" Type="http://schemas.openxmlformats.org/officeDocument/2006/relationships/hyperlink" Target="l%20Par728%20%20" TargetMode="External"/><Relationship Id="rId40" Type="http://schemas.openxmlformats.org/officeDocument/2006/relationships/image" Target="media/image4.wmf"/><Relationship Id="rId45" Type="http://schemas.openxmlformats.org/officeDocument/2006/relationships/hyperlink" Target="l%20Par311%20%20" TargetMode="External"/><Relationship Id="rId5" Type="http://schemas.openxmlformats.org/officeDocument/2006/relationships/hyperlink" Target="l%20Par721%20%20" TargetMode="External"/><Relationship Id="rId15" Type="http://schemas.openxmlformats.org/officeDocument/2006/relationships/hyperlink" Target="consultantplus://offline/ref=4C933805E611402FEFC79FCBE3889365CB1C667A8532E44F9AE7F75DA7071ADA13FA84BCD0DBB9E5BF9FEB868EQAn0J%20" TargetMode="External"/><Relationship Id="rId23" Type="http://schemas.openxmlformats.org/officeDocument/2006/relationships/hyperlink" Target="l%20Par730%20%20" TargetMode="External"/><Relationship Id="rId28" Type="http://schemas.openxmlformats.org/officeDocument/2006/relationships/hyperlink" Target="l%20Par728%20%20" TargetMode="External"/><Relationship Id="rId36" Type="http://schemas.openxmlformats.org/officeDocument/2006/relationships/hyperlink" Target="l%20Par733%20%20" TargetMode="External"/><Relationship Id="rId49" Type="http://schemas.openxmlformats.org/officeDocument/2006/relationships/fontTable" Target="fontTable.xml"/><Relationship Id="rId10" Type="http://schemas.openxmlformats.org/officeDocument/2006/relationships/hyperlink" Target="l%20Par158%20%20" TargetMode="External"/><Relationship Id="rId19" Type="http://schemas.openxmlformats.org/officeDocument/2006/relationships/hyperlink" Target="l%20Par726%20%20" TargetMode="External"/><Relationship Id="rId31" Type="http://schemas.openxmlformats.org/officeDocument/2006/relationships/hyperlink" Target="l%20Par730%20%20" TargetMode="External"/><Relationship Id="rId44" Type="http://schemas.openxmlformats.org/officeDocument/2006/relationships/hyperlink" Target="consultantplus://offline/ref=4C933805E611402FEFC79FCBE3889365CB1C667A8532E44F9AE7F75DA7071ADA01FADCB2D1D3ACB1EBC5BC8B8DA941EB112F3EFC34Q3nAJ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l%20Par460%20%20" TargetMode="External"/><Relationship Id="rId14" Type="http://schemas.openxmlformats.org/officeDocument/2006/relationships/image" Target="media/image1.wmf"/><Relationship Id="rId22" Type="http://schemas.openxmlformats.org/officeDocument/2006/relationships/hyperlink" Target="l%20Par729%20%20" TargetMode="External"/><Relationship Id="rId27" Type="http://schemas.openxmlformats.org/officeDocument/2006/relationships/hyperlink" Target="l%20Par730%20%20" TargetMode="External"/><Relationship Id="rId30" Type="http://schemas.openxmlformats.org/officeDocument/2006/relationships/hyperlink" Target="l%20Par731%20%20" TargetMode="External"/><Relationship Id="rId35" Type="http://schemas.openxmlformats.org/officeDocument/2006/relationships/hyperlink" Target="consultantplus://offline/ref=4C933805E611402FEFC79FCBE3889365CB13657A8C37E44F9AE7F75DA7071ADA13FA84BCD0DBB9E5BF9FEB868EQAn0J%20" TargetMode="External"/><Relationship Id="rId43" Type="http://schemas.openxmlformats.org/officeDocument/2006/relationships/hyperlink" Target="l%20Par98%20%20" TargetMode="External"/><Relationship Id="rId48" Type="http://schemas.openxmlformats.org/officeDocument/2006/relationships/hyperlink" Target="consultantplus://offline/ref=4C933805E611402FEFC79FCBE3889365CB1C677D8232E44F9AE7F75DA7071ADA01FADCB0D1D3A7EDBD8ABDD7C8F452EA1C2F3CF92839ACBEQBn7J%20" TargetMode="External"/><Relationship Id="rId8" Type="http://schemas.openxmlformats.org/officeDocument/2006/relationships/hyperlink" Target="l%20Par158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3D187-BDB6-425A-BF87-EAFED6EE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5530</Words>
  <Characters>31521</Characters>
  <Application>Microsoft Office Word</Application>
  <DocSecurity>0</DocSecurity>
  <Lines>262</Lines>
  <Paragraphs>73</Paragraphs>
  <ScaleCrop>false</ScaleCrop>
  <Company>RePack by SPecialiST</Company>
  <LinksUpToDate>false</LinksUpToDate>
  <CharactersWithSpaces>36978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brungardik</dc:creator>
  <cp:keywords/>
  <dc:description/>
  <cp:lastModifiedBy>brungardik</cp:lastModifiedBy>
  <cp:revision>5</cp:revision>
  <dcterms:created xsi:type="dcterms:W3CDTF">2021-05-18T09:40:00Z</dcterms:created>
  <dcterms:modified xsi:type="dcterms:W3CDTF">2021-05-19T09:14:00Z</dcterms:modified>
</cp:coreProperties>
</file>