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Style_11"/>
        <w:tblW w:w="5000" w:type="pct"/>
        <w:tblInd w:w="80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CellMar>
          <w:left w:w="80" w:type="dxa"/>
          <w:top w:w="60" w:type="dxa"/>
          <w:right w:w="80" w:type="dxa"/>
          <w:bottom w:w="60" w:type="dxa"/>
        </w:tblCellMar>
      </w:tblPr>
      <w:tblGrid>
        <w:gridCol w:w="10876"/>
      </w:tblGrid>
      <w:tr>
        <w:trPr>
          <w:trHeight w:val="3031" w:hRule="exact"/>
        </w:trPr>
        <w:tc>
          <w:tcPr>
            <w:shd w:val="nil" w:color="auto"/>
            <w:tcW w:w="10876" w:type="dxa"/>
            <w:vAlign w:val="top"/>
            <w:textDirection w:val="lrTb"/>
          </w:tcPr>
          <w:p>
            <w:pPr>
              <w:pStyle w:val="Style_20"/>
              <w:ind w:left="0" w:righ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val="ru-RU" w:bidi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rcRect l="0" t="0" r="0" b="0"/>
                              <a:stretch/>
                            </pic:blipFill>
                            <pic:spPr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300.0pt;height:71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c>
          <w:tcPr>
            <w:shd w:val="nil" w:color="auto"/>
            <w:tcW w:w="10876" w:type="dxa"/>
            <w:vAlign w:val="center"/>
            <w:textDirection w:val="lrTb"/>
          </w:tcPr>
          <w:p>
            <w:pPr>
              <w:pStyle w:val="Style_20"/>
              <w:ind w:left="0" w:right="0" w:firstLine="0"/>
              <w:jc w:val="center"/>
              <w:spacing w:lineRule="auto" w:line="240" w:after="0"/>
              <w:rPr>
                <w:rFonts w:ascii="Tahoma" w:hAnsi="Tahoma" w:cs="Tahoma" w:eastAsia="Tahoma"/>
                <w:sz w:val="44"/>
                <w:szCs w:val="44"/>
                <w:lang w:val="ru-RU" w:bidi="ru-RU"/>
              </w:rPr>
            </w:pPr>
            <w:r>
              <w:rPr>
                <w:rFonts w:ascii="Tahoma" w:hAnsi="Tahoma" w:cs="Tahoma" w:eastAsia="Tahoma"/>
                <w:sz w:val="44"/>
                <w:szCs w:val="44"/>
                <w:lang w:val="ru-RU" w:bidi="ru-RU"/>
              </w:rPr>
              <w:t xml:space="preserve">Разъяснения Минтруда России, Роспотребнадзора</w:t>
            </w:r>
            <w:r>
              <w:rPr>
                <w:rFonts w:ascii="Tahoma" w:hAnsi="Tahoma" w:cs="Tahoma" w:eastAsia="Tahoma"/>
                <w:sz w:val="44"/>
                <w:szCs w:val="44"/>
                <w:lang w:val="ru-RU" w:bidi="ru-RU"/>
              </w:rPr>
              <w:br/>
            </w:r>
            <w:r>
              <w:rPr>
                <w:rFonts w:ascii="Tahoma" w:hAnsi="Tahoma" w:cs="Tahoma" w:eastAsia="Tahoma"/>
                <w:sz w:val="44"/>
                <w:szCs w:val="44"/>
                <w:lang w:val="ru-RU" w:bidi="ru-RU"/>
              </w:rPr>
              <w:t xml:space="preserve">"Разъяснения по организации вакцинации в организованных рабочих коллективах (трудовых коллективах) и порядку учета процента вакцинированных"</w:t>
            </w:r>
            <w:r>
              <w:rPr>
                <w:rFonts w:ascii="Tahoma" w:hAnsi="Tahoma" w:cs="Tahoma" w:eastAsia="Tahoma"/>
                <w:sz w:val="44"/>
                <w:szCs w:val="44"/>
                <w:lang w:val="ru-RU" w:bidi="ru-RU"/>
              </w:rPr>
              <w:br/>
            </w:r>
            <w:r>
              <w:rPr>
                <w:rFonts w:ascii="Tahoma" w:hAnsi="Tahoma" w:cs="Tahoma" w:eastAsia="Tahoma"/>
                <w:sz w:val="44"/>
                <w:szCs w:val="44"/>
                <w:lang w:val="ru-RU" w:bidi="ru-RU"/>
              </w:rPr>
              <w:t xml:space="preserve">(вместе с "Рекомендациями действий для работодателей при принятии главными санитарными врачами субъектов Российской Федерации решений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граждан)")</w:t>
            </w:r>
          </w:p>
        </w:tc>
      </w:tr>
      <w:tr>
        <w:trPr>
          <w:trHeight w:val="3031" w:hRule="exact"/>
        </w:trPr>
        <w:tc>
          <w:tcPr>
            <w:shd w:val="nil" w:color="auto"/>
            <w:tcW w:w="10876" w:type="dxa"/>
            <w:vAlign w:val="center"/>
            <w:textDirection w:val="lrTb"/>
          </w:tcPr>
          <w:p>
            <w:pPr>
              <w:pStyle w:val="Style_20"/>
              <w:ind w:left="0" w:right="0" w:firstLine="0"/>
              <w:jc w:val="center"/>
              <w:spacing w:lineRule="auto" w:line="240" w:after="0"/>
              <w:rPr>
                <w:rFonts w:ascii="Tahoma" w:hAnsi="Tahoma" w:cs="Tahoma" w:eastAsia="Tahoma"/>
                <w:sz w:val="28"/>
                <w:szCs w:val="28"/>
                <w:lang w:val="ru-RU" w:bidi="ru-RU"/>
              </w:rPr>
            </w:pPr>
            <w:r>
              <w:rPr>
                <w:rFonts w:ascii="Tahoma" w:hAnsi="Tahoma" w:cs="Tahoma" w:eastAsia="Tahoma"/>
                <w:sz w:val="28"/>
                <w:szCs w:val="28"/>
                <w:lang w:val="ru-RU" w:bidi="ru-RU"/>
              </w:rPr>
              <w:t xml:space="preserve">Документ предоставлен </w:t>
            </w:r>
            <w:hyperlink r:id="rId11">
              <w:r>
                <w:rPr>
                  <w:rFonts w:ascii="Tahoma" w:hAnsi="Tahoma" w:cs="Tahoma" w:eastAsia="Tahoma"/>
                  <w:b/>
                  <w:bCs/>
                  <w:color w:val="0000FF"/>
                  <w:sz w:val="28"/>
                  <w:szCs w:val="28"/>
                  <w:lang w:val="ru-RU" w:bidi="ru-RU"/>
                </w:rPr>
                <w:t xml:space="preserve">КонсультантПлюс</w:t>
              </w:r>
              <w:r>
                <w:rPr>
                  <w:rFonts w:ascii="Tahoma" w:hAnsi="Tahoma" w:cs="Tahoma" w:eastAsia="Tahoma"/>
                  <w:b/>
                  <w:bCs/>
                  <w:color w:val="0000FF"/>
                  <w:sz w:val="28"/>
                  <w:szCs w:val="28"/>
                  <w:lang w:val="ru-RU" w:bidi="ru-RU"/>
                </w:rPr>
                <w:br/>
              </w:r>
              <w:r>
                <w:rPr>
                  <w:rFonts w:ascii="Tahoma" w:hAnsi="Tahoma" w:cs="Tahoma" w:eastAsia="Tahoma"/>
                  <w:b/>
                  <w:bCs/>
                  <w:color w:val="0000FF"/>
                  <w:sz w:val="28"/>
                  <w:szCs w:val="28"/>
                  <w:lang w:val="ru-RU" w:bidi="ru-RU"/>
                </w:rPr>
                <w:br/>
              </w:r>
            </w:hyperlink>
            <w:hyperlink r:id="rId12">
              <w:r>
                <w:rPr>
                  <w:rFonts w:ascii="Tahoma" w:hAnsi="Tahoma" w:cs="Tahoma" w:eastAsia="Tahoma"/>
                  <w:b/>
                  <w:bCs/>
                  <w:color w:val="0000FF"/>
                  <w:sz w:val="28"/>
                  <w:szCs w:val="28"/>
                  <w:lang w:val="ru-RU" w:bidi="ru-RU"/>
                </w:rPr>
                <w:t xml:space="preserve">www.consultant.ru</w:t>
              </w:r>
            </w:hyperlink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 w:bidi="ru-RU"/>
              </w:rPr>
              <w:br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 w:bidi="ru-RU"/>
              </w:rPr>
              <w:br/>
            </w:r>
            <w:r>
              <w:rPr>
                <w:rFonts w:ascii="Tahoma" w:hAnsi="Tahoma" w:cs="Tahoma" w:eastAsia="Tahoma"/>
                <w:sz w:val="28"/>
                <w:szCs w:val="28"/>
                <w:lang w:val="ru-RU" w:bidi="ru-RU"/>
              </w:rPr>
              <w:t xml:space="preserve">Дата сохранения: 26.07.2021</w:t>
            </w:r>
            <w:r>
              <w:rPr>
                <w:rFonts w:ascii="Tahoma" w:hAnsi="Tahoma" w:cs="Tahoma" w:eastAsia="Tahoma"/>
                <w:sz w:val="28"/>
                <w:szCs w:val="28"/>
                <w:lang w:val="ru-RU" w:bidi="ru-RU"/>
              </w:rPr>
              <w:br/>
            </w:r>
            <w:r>
              <w:rPr>
                <w:rFonts w:ascii="Tahoma" w:hAnsi="Tahoma" w:cs="Tahoma" w:eastAsia="Tahoma"/>
                <w:sz w:val="28"/>
                <w:szCs w:val="28"/>
                <w:lang w:val="ru-RU" w:bidi="ru-RU"/>
              </w:rPr>
              <w:t xml:space="preserve"> </w:t>
            </w:r>
          </w:p>
        </w:tc>
      </w:tr>
    </w:tbl>
    <w:p>
      <w:pPr>
        <w:ind w:left="0" w:right="0" w:firstLine="0"/>
        <w:jc w:val="lef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sectPr>
          <w:footnotePr>
            <w:pos w:val="pageBottom"/>
          </w:footnotePr>
          <w:type w:val="nextPage"/>
          <w:pgSz w:w="11906" w:h="16838"/>
          <w:pgMar w:top="841" w:right="595" w:bottom="841" w:left="595" w:header="0" w:footer="0" w:gutter="0"/>
          <w:cols w:num="1" w:space="720"/>
          <w:docGrid w:linePitch="360"/>
        </w:sectPr>
      </w:pPr>
    </w:p>
    <w:p>
      <w:pPr>
        <w:pStyle w:val="Style_15"/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outlineLvl w:val="0"/>
      </w:pP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  <w:outlineLvl w:val="0"/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МИНИСТЕРСТВО ТРУДА И СОЦИАЛЬНОЙ ЗАЩИТЫ РОССИЙСКОЙ ФЕДЕРАЦИИ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4"/>
          <w:szCs w:val="24"/>
          <w:lang w:val="ru-RU" w:bidi="ru-RU"/>
        </w:rPr>
      </w:pP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ФЕДЕРАЛЬНАЯ СЛУЖБА ПО НАДЗОРУ В СФЕРЕ ЗАЩИТЫ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ПРАВ ПОТРЕБИТЕЛЕЙ И БЛАГОПОЛУЧИЯ ЧЕЛОВЕКА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РАЗЪЯСНЕНИЯ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РАЗЪЯСНЕНИЯ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ПО ОРГАНИЗАЦИИ ВАКЦИНАЦИИ В ОРГАНИЗОВАННЫХ РАБОЧИХ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КОЛЛЕКТИВАХ (ТРУДОВЫХ КОЛЛЕКТИВАХ) И ПОРЯДКУ УЧЕТА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ПРОЦЕНТА ВАКЦИНИРОВАННЫХ</w:t>
      </w: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1. Согласно </w:t>
      </w:r>
      <w:hyperlink r:id="rId13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статье 35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от 30.03.1999 N 52-ФЗ "О санитарно-эпидемиологическом благополучии населения" (далее - Федеральный закон N 52-ФЗ) 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Федерации, установлены Федеральным </w:t>
      </w:r>
      <w:hyperlink r:id="rId14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от 17.09.1998 N 157-ФЗ "Об иммунопрофилактике инфекционных болезней" (далее - Федеральный закон N 157-ФЗ).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Профилактическая прививка против новой коронавирусной инфекции (далее - COVID-19) внесена в </w:t>
      </w:r>
      <w:hyperlink r:id="rId15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календарь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профилактических прививок по эпидемическим показаниям (</w:t>
      </w:r>
      <w:hyperlink r:id="rId16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приказ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Министерства здравоохранения Российской Федерации от 09.12.2020 N 1307н).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Решение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 (далее - постановления) принимают Главный государственный санитарный врач Российской Федерации, главные государственные санитарные врачи субъектов Российской Федерации при угрозе возникновения и распространения инфекционных заболеваний, представляющих опасность для окружающих (</w:t>
      </w:r>
      <w:hyperlink r:id="rId17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подпункт 6 пункта 1 статьи 51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N 52-ФЗ и </w:t>
      </w:r>
      <w:hyperlink r:id="rId18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 2 статьи 10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N 157-ФЗ).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В постановлениях главных государственных санитарных врачей субъектов Российской Федерации определены категории (группы) граждан, так называемых "групп риска", которые по роду своей профессиональной деятельности сталкиваются с большим количеством людей, и должны пройти вакцинацию. При вынесении подобных постановлений граждане, подлежащие вакцинации, вправе отказаться от прививок, но в этом случае они должны быть отстранены от выполняемых работ на период эпидемиологического неблагополучия.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В данных постановлениях также указано, что вакцинация не распространяется на лиц, имеющих противопоказания к профилактической прививке против COVID-19. Противопоказания должны быть подтверждены медицинским заключением.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Граждане, юридические лица, индивидуальные предприниматели обязаны выполнять требования санитарного законодательства, а также постановлений, предписаний должностных лиц, осуществляющих федеральный государственный санитарно-эпидемиологический надзор (</w:t>
      </w:r>
      <w:hyperlink r:id="rId19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статьи 10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, </w:t>
      </w:r>
      <w:hyperlink r:id="rId20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11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N 52-ФЗ).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В связи с ухудшением эпидемиологической ситуации по COVID-19 по состоянию на 23.07.2021 данные постановления приняты в 35 субъектах Российской Федерации.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Вакцинация позволяет снизить риски не только для конкретного привитого работника, но и прервать цепочку распространения заболевания и стабилизировать эпидпроцесс, если прививки получило требуемое для достижения коллективного иммунитета количество граждан.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Работодателям рекомендуется организовать во взаимодействии с профсоюзом (при наличии) разъяснительную работу среди трудового коллектива: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распространить официально размещенную на сайтах Минздрава России, Роспотребнадзора и органа власти субъекта Российской Федерации информацию о текущей эпидситуации в регионе по COVID-19, об эффективности вакцинации против COVID-19, проводимой в целях снижения риска инфицирования и предупреждения развития тяжелых форм заболевания;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использовать личный положительный опыт работников, прошедших вакцинацию (с их согласия);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доводить до работников информацию о применяемых в Российской Федерации вакцинах, о стационарных и передвижных пунктах вакцинации;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предоставлять дополнительное время (выходной день) работникам для прохождения вакцинации (на усмотрение работодателя).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Согласно </w:t>
      </w:r>
      <w:hyperlink r:id="rId21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статье 5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Трудового кодекса Российской Федерации регулирование трудовых отношений, в соответствии с </w:t>
      </w:r>
      <w:hyperlink r:id="rId22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Конституцией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Российской Федерации, осуществляется трудовым законодательством (включая законодательство об охране труда) и иными нормативными правовыми актами, содержащими нормы трудового права, в том числе локальными нормативными актами работодателя. Трудовым законодательством работодателю предоставлены широкие возможности для регулирования вопросов организации труда работников.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Исходя из положений </w:t>
      </w:r>
      <w:hyperlink r:id="rId23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статей 8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, </w:t>
      </w:r>
      <w:hyperlink r:id="rId24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22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, </w:t>
      </w:r>
      <w:hyperlink r:id="rId25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41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Трудового кодекса Российской Федерации повышенные или дополнительные гарантии и компенсации, в том числе по предоставлению дополнительного времени отдыха работникам, проходящим вакцинацию от новой коронавирусной инфекции, могут устанавливаться коллективным договором, локальным нормативным актом.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Например, дополнительные оплачиваемые дни отдыха с сохранением заработной платы, возможность присоединения их к очередному отпуску.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2. Для контроля за эпидемическим процессом и стабилизации ситуации по заболеваемости COVID-19 необходимо обеспечить уровень коллективного иммунитета не менее 80% от списочного состава коллектива, с учетом лиц, переболевших COVID-19 и вакцинированных (не более 6 месяцев назад), не привитые, имеющие медицинские противопоказания, и прочие должны составлять не более 20% от списочного состава работающих.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К прочим в том числе могут относиться работники: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направленные организацией на обучение с отрывом от работы (на весь период действия постановления), получающие стипендию за счет средств организации;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на весь период действия постановления находящиеся в простоях, а также в неоплаченных отпусках по инициативе работодателя;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находящиеся в отпусках по беременности и родам, в отпусках в связи с усыновлением ребенка со дня рождения усыновленного ребенка, а также в отпуске по уходу за ребенком;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обучающиеся в образовательных организациях и находящиеся в дополнительном отпуске без сохранения заработной платы, а также работники, поступающие в образовательные организации, находящиеся в отпуске без сохранения заработной платы для сдачи вступительных экзаменов в соответствии с законодательством Российской Федерации;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не явившиеся на работу по болезни (в течение всего периода болезни до возвращения на работу в соответствии с листками нетрудоспособности или до выбытия по инвалидности);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находящиеся в длительных служебных командировках за границей.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3. Расчет процента вакцинированных работников организациям рекомендуется осуществлять в следующем порядке: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а) кадровое подразделение организации составляет список работников (списочную численность, за исключением вакантных должностей), в который включаются наемные работники, работающие по трудовому договору и выполняющие постоянную, временную или сезонную работу, а также работающие собственники организаций, получающие заработную плату в данной организации;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б) работник, прошедший вакцинацию представляет информацию о вакцинации в кадровое подразделение организации. Данные о прохождении/непрохождении вакцинации относятся к персональным данным и не подлежат распространению без согласия работника;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в) кадровое подразделение организации соотносит суммарную численность работников, предоставивших информацию о своей вакцинации, к списочной численности работников, учитываемую при оценке процента вакцинированных работников организации, и определяет процент вакцинированных работников организации.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Контроль охвата профилактическими прививками органами исполнительной власти субъектов Российской Федерации, органами, осуществляющим и федеральный государственный санитарно-эпидемиологический надзор, может осуществляется различными способами.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Как например, на основании информации, размещаемой юридическим лицом в личном кабинете на сайте органов исполнительной власти субъектов Российской Федерации и сопоставление в автоматическом режиме данных списочного состава сотрудников организаций с данными о вакцинированных и переболевших, зарегистрированных в государственной информационной системе Минздрава России, а также в рамках выборочного контроля в соответствии с законодательством (в том числе при проведении плановых, внеплановых проверок, эпидрасследованиях и прочее).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Принимаемые Российской Федерацией профилактические и противоэпидемические меры в рамках предотвращения распространения COVID-19 вызваны особыми обстоятельствами, носят временный характер и направлены исключительно во благо сохранения здоровья граждан.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Актуальная информация о вакцинопрофилактике COVID-19 размещается на официальном сайте Роспотребнадзора в разделе "COVID-19. Коронавирус. Информация для граждан" в подразделе "Вакцина для профилактики COVID-19".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Кроме того, направляем для использования в работе </w:t>
      </w:r>
      <w:hyperlink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рекомендации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действий для работодателей при принятии главными санитарными врачами субъектов Российской Федерации решений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граждан).</w:t>
      </w: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Заместитель Министра труда</w:t>
      </w: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и социальной защиты</w:t>
      </w: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Российской Федерации</w:t>
      </w: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Е.В.МУХТИЯРОВА</w:t>
      </w: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Заместитель Руководителя</w:t>
      </w: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Федеральной службы по надзору</w:t>
      </w: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в сфере защиты прав потребителя</w:t>
      </w: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и благополучия человека</w:t>
      </w: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Е.Б.ЕЖЛОВА</w:t>
      </w: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0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outlineLvl w:val="0"/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Приложение</w:t>
      </w: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bookmarkStart w:id="1" w:name="Par65"/>
      <w:bookmarkEnd w:id="1"/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РЕКОМЕНДАЦИИ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ДЕЙСТВИЙ ДЛЯ РАБОТОДАТЕЛЕЙ ПРИ ПРИНЯТИИ ГЛАВНЫМИ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САНИТАРНЫМИ ВРАЧАМИ СУБЪЕКТОВ РОССИЙСКОЙ ФЕДЕРАЦИИ РЕШЕНИЙ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О ПРОВЕДЕНИИ ПРОФИЛАКТИЧЕСКИХ ПРИВИВОК ПО ЭПИДЕМИЧЕСКИМ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ПОКАЗАНИЯМ (В ВИДЕ МОТИВИРОВАННЫХ ПОСТАНОВЛЕНИЙ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О ПРОВЕДЕНИИ ПРОФИЛАКТИЧЕСКИХ ПРИВИВОК ГРАЖДАНАМ</w:t>
      </w:r>
    </w:p>
    <w:p>
      <w:pPr>
        <w:pStyle w:val="Style_17"/>
        <w:ind w:left="0" w:right="0" w:firstLine="0"/>
        <w:jc w:val="center"/>
        <w:spacing w:lineRule="auto" w:line="240" w:after="0"/>
        <w:rPr>
          <w:rFonts w:ascii="Arial" w:hAnsi="Arial" w:cs="Arial" w:eastAsia="Arial"/>
          <w:b/>
          <w:bCs/>
          <w:sz w:val="24"/>
          <w:szCs w:val="24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ИЛИ ОТДЕЛЬНЫМ ГРУППАМ ГРАЖДАН)</w:t>
      </w: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Работодателю необходимо: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1. Определить перечень работников, которые относятся к группе (категории) работников, подлежащих вакцинации по постановлению Главного государственного санитарного врача по субъекту Российской Федерации.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2. Издать приказ об организации проведения профилактических прививок. В приказе необходимо указать: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сведения о необходимости вакцинации;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сроки прохождения вакцинации и предоставлении информации о прохождении вакцинации или об отказе от этой процедуры;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порядок предоставления сведений (сертификатов) о прохождении вакцинации;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порядок предоставления сведений о противопоказаниях к прививке;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информацию о возможности отстранения работника на основании </w:t>
      </w:r>
      <w:hyperlink r:id="rId26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пункта 2 статьи 5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от 17.07.1998 N 157-ФЗ, </w:t>
      </w:r>
      <w:hyperlink r:id="rId27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абзаца восьмого части первой статьи 76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Трудового кодекса Российской Федерации в случае отказа от прохождения вакцинации;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должностное лицо, ответственное за организацию прохождения вакцинации и сбор информации о прохождении вакцинации сотрудниками.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Основания для издания приказа: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постановление Главного государственного санитарного врача субъекта;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hyperlink r:id="rId28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подпункт 6 пункта 1 статьи 51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от 30 марта 1999 г. N 52-ФЗ "О санитарно-эпидемиологическом благополучии населения";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hyperlink r:id="rId29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 2 статьи 10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от 17 сентября 1998 г. N 157-ФЗ "Об иммунопрофилактике инфекционных болезней";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hyperlink r:id="rId30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 18.3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СП 3.1.3.2.3 146-13 "Общие требования по профилактике инфекционных и паразитарных болезней";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hyperlink r:id="rId31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приказ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Минздрава России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3. Ознакомить работников, которые подлежат вакцинации, с приказом под роспись.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4. Организовать прохождение вакцинации работниками централизовано или обеспечить работникам возможность в течение рабочего времени пройти вакцинацию самостоятельно с сохранением за работником заработной платы в период отсутствия на рабочем месте в связи с вакцинацией,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5. Приказом возможно определить меры поддержки работников, прошедших вакцинацию.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bookmarkStart w:id="2" w:name="Par91"/>
      <w:bookmarkEnd w:id="2"/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6. В случае отсутствия у работодателя документального подтверждения прохождения работником вакцинации к установленному сроку работодателю необходимо издать приказ об отстранении работника без сохранения заработной платы в случае отказа работника пройти вакцинацию без уважительной причины (при отсутствии сведений о противопоказаниях к вакцинации).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Основание </w:t>
      </w:r>
      <w:hyperlink r:id="rId32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абзац восьмой части первой статьи 76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Трудового кодекса Российской Федерации, </w:t>
      </w:r>
      <w:hyperlink r:id="rId33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 2 статьи 5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Федерального закона от 17 сентября 1998 г. N 157 "Об иммунопрофилактике инфекционных болезней".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Форму приказа об отстранении работника в связи с отказом проходить вакцинацию работодатель может разработать самостоятельно.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В приказе необходимо указать фамилию, имя, отчество, должность работника, основания, по которым он отстраняется от работы, срок отстранения (на период эпиднеблагополучия).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7. В случае, если трудовая функция может быть выполнена дистанционно, работодатель вправе предложить работнику выполнение работы дистанционно либо по собственной инициативе работника временно перевести его на дистанционную работу в порядке и по основаниям, предусмотренным </w:t>
      </w:r>
      <w:hyperlink r:id="rId34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статьей 312.9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 Трудового кодекса Российской Федерации. Таким правом преимущественно необходимо воспользоваться в отношении работников, имеющих противопоказания к проведению профилактической прививки.</w:t>
      </w:r>
    </w:p>
    <w:p>
      <w:pPr>
        <w:pStyle w:val="Style_15"/>
        <w:ind w:left="0" w:righ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8. Ознакомить работников, перечисленных в </w:t>
      </w:r>
      <w:hyperlink>
        <w:r>
          <w:rPr>
            <w:rFonts w:ascii="Times New Roman" w:hAnsi="Times New Roman" w:cs="Times New Roman" w:eastAsia="Times New Roman"/>
            <w:color w:val="0000FF"/>
            <w:sz w:val="24"/>
            <w:szCs w:val="24"/>
            <w:lang w:val="ru-RU" w:bidi="ru-RU"/>
          </w:rPr>
          <w:t xml:space="preserve">пункте 6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ru-RU" w:bidi="ru-RU"/>
        </w:rPr>
        <w:t xml:space="preserve">, с упомянутым приказом под роспись.</w:t>
      </w:r>
    </w:p>
    <w:p>
      <w:pPr>
        <w:pStyle w:val="Style_15"/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p>
      <w:pPr>
        <w:pStyle w:val="Style_15"/>
        <w:ind w:left="0" w:right="0" w:firstLine="0"/>
        <w:jc w:val="both"/>
        <w:spacing w:lineRule="auto" w:line="240" w:after="100" w:before="100"/>
        <w:pBdr>
          <w:top w:val="single" w:sz="6"/>
        </w:pBdr>
        <w:rPr>
          <w:rFonts w:ascii="Times New Roman" w:hAnsi="Times New Roman" w:cs="Times New Roman" w:eastAsia="Times New Roman"/>
          <w:sz w:val="2"/>
          <w:szCs w:val="2"/>
          <w:lang w:val="ru-RU" w:bidi="ru-RU"/>
        </w:rPr>
      </w:pPr>
    </w:p>
    <w:p>
      <w:pPr>
        <w:pStyle w:val="Style_15"/>
        <w:ind w:left="0" w:right="0" w:firstLine="0"/>
        <w:jc w:val="both"/>
        <w:spacing w:lineRule="auto" w:line="240" w:after="100" w:before="100"/>
        <w:pBdr>
          <w:top w:val="single" w:sz="6"/>
        </w:pBdr>
        <w:rPr>
          <w:rFonts w:ascii="Times New Roman" w:hAnsi="Times New Roman" w:cs="Times New Roman" w:eastAsia="Times New Roman"/>
          <w:sz w:val="24"/>
          <w:szCs w:val="24"/>
          <w:lang w:val="ru-RU" w:bidi="ru-RU"/>
        </w:rPr>
      </w:pPr>
    </w:p>
    <w:sectPr>
      <w:headerReference w:type="default" r:id="rId8"/>
      <w:footerReference w:type="default" r:id="rId9"/>
      <w:footnotePr>
        <w:pos w:val="pageBottom"/>
      </w:footnotePr>
      <w:type w:val="nextPage"/>
      <w:pgSz w:w="11906" w:h="16838"/>
      <w:pgMar w:top="1440" w:right="566" w:bottom="1440" w:left="1133" w:header="0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ind w:left="0" w:right="0" w:firstLine="0"/>
        <w:jc w:val="left"/>
        <w:spacing w:lineRule="auto" w:line="240" w:after="0"/>
        <w:rPr>
          <w:rFonts w:ascii="Times New Roman" w:hAnsi="Times New Roman" w:cs="Times New Roman" w:eastAsia="Times New Roman"/>
          <w:sz w:val="22"/>
          <w:szCs w:val="22"/>
          <w:lang w:val="ru-RU" w:bidi="ru-RU"/>
        </w:rPr>
      </w:pPr>
      <w:r>
        <w:rPr>
          <w:rFonts w:ascii="Times New Roman" w:hAnsi="Times New Roman" w:cs="Times New Roman" w:eastAsia="Times New Roman"/>
          <w:sz w:val="22"/>
          <w:szCs w:val="22"/>
          <w:lang w:val="ru-RU" w:bidi="ru-RU"/>
        </w:rPr>
        <w:separator/>
      </w:r>
    </w:p>
  </w:endnote>
  <w:endnote w:type="continuationSeparator" w:id="1">
    <w:p>
      <w:pPr>
        <w:ind w:left="0" w:right="0" w:firstLine="0"/>
        <w:jc w:val="left"/>
        <w:spacing w:lineRule="auto" w:line="240" w:after="0"/>
        <w:rPr>
          <w:rFonts w:ascii="Times New Roman" w:hAnsi="Times New Roman" w:cs="Times New Roman" w:eastAsia="Times New Roman"/>
          <w:sz w:val="22"/>
          <w:szCs w:val="22"/>
          <w:lang w:val="ru-RU" w:bidi="ru-RU"/>
        </w:rPr>
      </w:pPr>
      <w:r>
        <w:rPr>
          <w:rFonts w:ascii="Times New Roman" w:hAnsi="Times New Roman" w:cs="Times New Roman" w:eastAsia="Times New Roman"/>
          <w:sz w:val="22"/>
          <w:szCs w:val="22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15"/>
      <w:ind w:left="0" w:right="0" w:firstLine="0"/>
      <w:jc w:val="center"/>
      <w:spacing w:lineRule="auto" w:line="240" w:after="0"/>
      <w:pBdr>
        <w:bottom w:val="single" w:sz="12"/>
      </w:pBdr>
      <w:rPr>
        <w:rFonts w:ascii="Times New Roman" w:hAnsi="Times New Roman" w:cs="Times New Roman" w:eastAsia="Times New Roman"/>
        <w:sz w:val="2"/>
        <w:szCs w:val="2"/>
        <w:lang w:val="ru-RU" w:bidi="ru-RU"/>
      </w:rPr>
    </w:pPr>
  </w:p>
  <w:tbl>
    <w:tblPr>
      <w:tblStyle w:val="Style_11"/>
      <w:tblW w:w="0" w:type="auto"/>
      <w:tblInd w:w="40" w:type="dxa"/>
      <w:tblBorders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insideV w:val="none" w:sz="0" w:space="0" w:color="auto"/>
        <w:insideH w:val="none" w:sz="0" w:space="0" w:color="auto"/>
      </w:tblBorders>
      <w:tblLayout w:type="autofit"/>
      <w:tblCellMar>
        <w:left w:w="40" w:type="dxa"/>
        <w:right w:w="40" w:type="dxa"/>
      </w:tblCellMar>
    </w:tblPr>
    <w:tblGrid>
      <w:gridCol w:w="3346"/>
      <w:gridCol w:w="3555"/>
      <w:gridCol w:w="3346"/>
    </w:tblGrid>
    <w:tr>
      <w:trPr>
        <w:trHeight w:val="1663" w:hRule="exact"/>
      </w:trPr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3346" w:type="dxa"/>
          <w:vAlign w:val="center"/>
          <w:textDirection w:val="lrTb"/>
        </w:tcPr>
        <w:p>
          <w:pPr>
            <w:pStyle w:val="Style_15"/>
            <w:ind w:left="0" w:right="0" w:firstLine="0"/>
            <w:jc w:val="left"/>
            <w:spacing w:lineRule="auto" w:line="240" w:after="0"/>
            <w:rPr>
              <w:rFonts w:ascii="Times New Roman" w:hAnsi="Times New Roman" w:cs="Times New Roman" w:eastAsia="Times New Roman"/>
              <w:b/>
              <w:bCs/>
              <w:color w:val="F58220"/>
              <w:sz w:val="28"/>
              <w:szCs w:val="28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b/>
              <w:bCs/>
              <w:color w:val="F58220"/>
              <w:sz w:val="28"/>
              <w:szCs w:val="28"/>
              <w:lang w:val="ru-RU" w:bidi="ru-RU"/>
            </w:rPr>
            <w:t xml:space="preserve">КонсультантПлюс</w:t>
          </w:r>
          <w:r>
            <w:rPr>
              <w:rFonts w:ascii="Times New Roman" w:hAnsi="Times New Roman" w:cs="Times New Roman" w:eastAsia="Times New Roman"/>
              <w:b/>
              <w:bCs/>
              <w:sz w:val="16"/>
              <w:szCs w:val="16"/>
              <w:lang w:val="ru-RU" w:bidi="ru-RU"/>
            </w:rPr>
            <w:br/>
          </w:r>
          <w:r>
            <w:rPr>
              <w:rFonts w:ascii="Times New Roman" w:hAnsi="Times New Roman" w:cs="Times New Roman" w:eastAsia="Times New Roman"/>
              <w:b/>
              <w:bCs/>
              <w:sz w:val="16"/>
              <w:szCs w:val="16"/>
              <w:lang w:val="ru-RU" w:bidi="ru-RU"/>
            </w:rPr>
            <w:t xml:space="preserve">надежная правовая поддержка</w:t>
          </w:r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3555" w:type="dxa"/>
          <w:vAlign w:val="center"/>
          <w:textDirection w:val="lrTb"/>
        </w:tcPr>
        <w:p>
          <w:pPr>
            <w:pStyle w:val="Style_15"/>
            <w:ind w:left="0" w:right="0" w:firstLine="0"/>
            <w:jc w:val="center"/>
            <w:spacing w:lineRule="auto" w:line="240" w:after="0"/>
            <w:rPr>
              <w:rFonts w:ascii="Times New Roman" w:hAnsi="Times New Roman" w:cs="Times New Roman" w:eastAsia="Times New Roman"/>
              <w:b/>
              <w:bCs/>
              <w:sz w:val="20"/>
              <w:szCs w:val="20"/>
              <w:lang w:val="ru-RU" w:bidi="ru-RU"/>
            </w:rPr>
          </w:pPr>
          <w:hyperlink r:id="rId1"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0"/>
                <w:szCs w:val="20"/>
                <w:lang w:val="ru-RU" w:bidi="ru-RU"/>
              </w:rPr>
              <w:t xml:space="preserve">www.consultant.ru</w:t>
            </w:r>
          </w:hyperlink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3346" w:type="dxa"/>
          <w:vAlign w:val="center"/>
          <w:textDirection w:val="lrTb"/>
        </w:tcPr>
        <w:p>
          <w:pPr>
            <w:pStyle w:val="Style_15"/>
            <w:ind w:left="0" w:right="0" w:firstLine="0"/>
            <w:jc w:val="right"/>
            <w:spacing w:lineRule="auto" w:line="240" w:after="0"/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Страница </w:t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fldChar w:fldCharType="begin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instrText xml:space="preserve">\PAGE</w:instrText>
          </w:r>
          <w:r>
            <w:fldChar w:fldCharType="separate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2</w:t>
          </w:r>
          <w:r>
            <w:fldChar w:fldCharType="end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 из </w:t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fldChar w:fldCharType="begin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instrText xml:space="preserve">\NUMPAGES</w:instrText>
          </w:r>
          <w:r>
            <w:fldChar w:fldCharType="separate"/>
          </w:r>
          <w:r>
            <w:rPr>
              <w:rFonts w:ascii="Times New Roman" w:hAnsi="Times New Roman" w:cs="Times New Roman" w:eastAsia="Times New Roman"/>
              <w:sz w:val="20"/>
              <w:szCs w:val="20"/>
              <w:lang w:val="ru-RU" w:bidi="ru-RU"/>
            </w:rPr>
            <w:t xml:space="preserve">7</w:t>
          </w:r>
          <w:r>
            <w:fldChar w:fldCharType="end"/>
          </w:r>
        </w:p>
      </w:tc>
    </w:tr>
  </w:tbl>
  <w:p>
    <w:pPr>
      <w:pStyle w:val="Style_15"/>
      <w:ind w:left="0" w:right="0" w:firstLine="0"/>
      <w:jc w:val="left"/>
      <w:spacing w:lineRule="auto" w:line="240" w:after="0"/>
      <w:rPr>
        <w:rFonts w:ascii="Times New Roman" w:hAnsi="Times New Roman" w:cs="Times New Roman" w:eastAsia="Times New Roman"/>
        <w:sz w:val="2"/>
        <w:szCs w:val="2"/>
        <w:lang w:val="ru-RU" w:bidi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ind w:left="0" w:right="0" w:firstLine="0"/>
        <w:jc w:val="left"/>
        <w:spacing w:lineRule="auto" w:line="240" w:after="0"/>
        <w:rPr>
          <w:rFonts w:ascii="Times New Roman" w:hAnsi="Times New Roman" w:cs="Times New Roman" w:eastAsia="Times New Roman"/>
          <w:sz w:val="22"/>
          <w:szCs w:val="22"/>
          <w:lang w:val="ru-RU" w:bidi="ru-RU"/>
        </w:rPr>
      </w:pPr>
      <w:r>
        <w:rPr>
          <w:rFonts w:ascii="Times New Roman" w:hAnsi="Times New Roman" w:cs="Times New Roman" w:eastAsia="Times New Roman"/>
          <w:sz w:val="22"/>
          <w:szCs w:val="22"/>
          <w:lang w:val="ru-RU" w:bidi="ru-RU"/>
        </w:rPr>
        <w:separator/>
      </w:r>
    </w:p>
  </w:footnote>
  <w:footnote w:type="continuationSeparator" w:id="1">
    <w:p>
      <w:pPr>
        <w:ind w:left="0" w:right="0" w:firstLine="0"/>
        <w:jc w:val="left"/>
        <w:spacing w:lineRule="auto" w:line="240" w:after="0"/>
        <w:rPr>
          <w:rFonts w:ascii="Times New Roman" w:hAnsi="Times New Roman" w:cs="Times New Roman" w:eastAsia="Times New Roman"/>
          <w:sz w:val="22"/>
          <w:szCs w:val="22"/>
          <w:lang w:val="ru-RU" w:bidi="ru-RU"/>
        </w:rPr>
      </w:pPr>
      <w:r>
        <w:rPr>
          <w:rFonts w:ascii="Times New Roman" w:hAnsi="Times New Roman" w:cs="Times New Roman" w:eastAsia="Times New Roman"/>
          <w:sz w:val="22"/>
          <w:szCs w:val="22"/>
          <w:lang w:val="ru-RU" w:bidi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Style_11"/>
      <w:tblW w:w="0" w:type="auto"/>
      <w:tblInd w:w="40" w:type="dxa"/>
      <w:tblBorders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insideV w:val="none" w:sz="0" w:space="0" w:color="auto"/>
        <w:insideH w:val="none" w:sz="0" w:space="0" w:color="auto"/>
      </w:tblBorders>
      <w:tblLayout w:type="autofit"/>
      <w:tblCellMar>
        <w:left w:w="40" w:type="dxa"/>
        <w:right w:w="40" w:type="dxa"/>
      </w:tblCellMar>
    </w:tblPr>
    <w:tblGrid>
      <w:gridCol w:w="5646"/>
      <w:gridCol w:w="418"/>
      <w:gridCol w:w="4183"/>
    </w:tblGrid>
    <w:tr>
      <w:trPr>
        <w:trHeight w:val="1683" w:hRule="exact"/>
      </w:trPr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5646" w:type="dxa"/>
          <w:vAlign w:val="center"/>
          <w:textDirection w:val="lrTb"/>
        </w:tcPr>
        <w:p>
          <w:pPr>
            <w:pStyle w:val="Style_15"/>
            <w:ind w:left="0" w:right="0" w:firstLine="0"/>
            <w:jc w:val="left"/>
            <w:spacing w:lineRule="auto" w:line="240" w:after="0"/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  <w:t xml:space="preserve">Разъяснения Минтруда России, Роспотребнадзора</w:t>
          </w:r>
          <w:r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  <w:br/>
          </w:r>
          <w:r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  <w:t xml:space="preserve">"Разъяснения по организации вакцинации в организованных рабочих коллектива...</w:t>
          </w:r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418" w:type="dxa"/>
          <w:vAlign w:val="center"/>
          <w:textDirection w:val="lrTb"/>
        </w:tcPr>
        <w:p>
          <w:pPr>
            <w:pStyle w:val="Style_15"/>
            <w:ind w:left="0" w:right="0" w:firstLine="0"/>
            <w:jc w:val="center"/>
            <w:spacing w:lineRule="auto" w:line="240" w:after="0"/>
            <w:rPr>
              <w:rFonts w:ascii="Times New Roman" w:hAnsi="Times New Roman" w:cs="Times New Roman" w:eastAsia="Times New Roman"/>
              <w:sz w:val="24"/>
              <w:szCs w:val="24"/>
              <w:lang w:val="ru-RU" w:bidi="ru-RU"/>
            </w:rPr>
          </w:pPr>
        </w:p>
        <w:p>
          <w:pPr>
            <w:pStyle w:val="Style_15"/>
            <w:ind w:left="0" w:right="0" w:firstLine="0"/>
            <w:jc w:val="center"/>
            <w:spacing w:lineRule="auto" w:line="240" w:after="0"/>
            <w:rPr>
              <w:rFonts w:ascii="Times New Roman" w:hAnsi="Times New Roman" w:cs="Times New Roman" w:eastAsia="Times New Roman"/>
              <w:sz w:val="24"/>
              <w:szCs w:val="24"/>
              <w:lang w:val="ru-RU" w:bidi="ru-RU"/>
            </w:rPr>
          </w:pPr>
        </w:p>
      </w:tc>
      <w:tc>
        <w:tcPr>
          <w:shd w:val="nil" w:color="auto"/>
          <w:tcBorders>
            <w:left w:val="none" w:sz="2"/>
            <w:top w:val="none" w:sz="2"/>
            <w:right w:val="none" w:sz="2"/>
            <w:bottom w:val="none" w:sz="2"/>
          </w:tcBorders>
          <w:tcW w:w="4183" w:type="dxa"/>
          <w:vAlign w:val="center"/>
          <w:textDirection w:val="lrTb"/>
        </w:tcPr>
        <w:p>
          <w:pPr>
            <w:pStyle w:val="Style_15"/>
            <w:ind w:left="0" w:right="0" w:firstLine="0"/>
            <w:jc w:val="right"/>
            <w:spacing w:lineRule="auto" w:line="240" w:after="0"/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</w:pPr>
          <w:r>
            <w:rPr>
              <w:rFonts w:ascii="Times New Roman" w:hAnsi="Times New Roman" w:cs="Times New Roman" w:eastAsia="Times New Roman"/>
              <w:sz w:val="18"/>
              <w:szCs w:val="18"/>
              <w:lang w:val="ru-RU" w:bidi="ru-RU"/>
            </w:rPr>
            <w:t xml:space="preserve">Документ предоставлен </w:t>
          </w:r>
          <w:hyperlink r:id="rId1">
            <w:r>
              <w:rPr>
                <w:rFonts w:ascii="Times New Roman" w:hAnsi="Times New Roman" w:cs="Times New Roman" w:eastAsia="Times New Roman"/>
                <w:color w:val="0000FF"/>
                <w:sz w:val="18"/>
                <w:szCs w:val="18"/>
                <w:lang w:val="ru-RU" w:bidi="ru-RU"/>
              </w:rPr>
              <w:t xml:space="preserve">КонсультантПлюс</w:t>
            </w:r>
          </w:hyperlink>
          <w:r>
            <w:rPr>
              <w:rFonts w:ascii="Times New Roman" w:hAnsi="Times New Roman" w:cs="Times New Roman" w:eastAsia="Times New Roman"/>
              <w:sz w:val="18"/>
              <w:szCs w:val="18"/>
              <w:lang w:val="ru-RU" w:bidi="ru-RU"/>
            </w:rPr>
            <w:br/>
          </w:r>
          <w:r>
            <w:rPr>
              <w:rFonts w:ascii="Times New Roman" w:hAnsi="Times New Roman" w:cs="Times New Roman" w:eastAsia="Times New Roman"/>
              <w:sz w:val="16"/>
              <w:szCs w:val="16"/>
              <w:lang w:val="ru-RU" w:bidi="ru-RU"/>
            </w:rPr>
            <w:t xml:space="preserve">Дата сохранения: 26.07.2021</w:t>
          </w:r>
        </w:p>
      </w:tc>
    </w:tr>
  </w:tbl>
  <w:p>
    <w:pPr>
      <w:pStyle w:val="Style_15"/>
      <w:ind w:left="0" w:right="0" w:firstLine="0"/>
      <w:jc w:val="center"/>
      <w:spacing w:lineRule="auto" w:line="240" w:after="0"/>
      <w:pBdr>
        <w:bottom w:val="single" w:sz="12"/>
      </w:pBdr>
      <w:rPr>
        <w:rFonts w:ascii="Times New Roman" w:hAnsi="Times New Roman" w:cs="Times New Roman" w:eastAsia="Times New Roman"/>
        <w:sz w:val="2"/>
        <w:szCs w:val="2"/>
        <w:lang w:val="ru-RU" w:bidi="ru-RU"/>
      </w:rPr>
    </w:pPr>
  </w:p>
  <w:p>
    <w:pPr>
      <w:pStyle w:val="Style_15"/>
      <w:ind w:left="0" w:right="0" w:firstLine="0"/>
      <w:jc w:val="left"/>
      <w:spacing w:lineRule="auto" w:line="240" w:after="0"/>
      <w:rPr>
        <w:rFonts w:ascii="Times New Roman" w:hAnsi="Times New Roman" w:cs="Times New Roman" w:eastAsia="Times New Roman"/>
        <w:sz w:val="24"/>
        <w:szCs w:val="24"/>
        <w:lang w:val="ru-RU" w:bidi="ru-RU"/>
      </w:rPr>
    </w:pPr>
    <w:r>
      <w:rPr>
        <w:rFonts w:ascii="Times New Roman" w:hAnsi="Times New Roman" w:cs="Times New Roman" w:eastAsia="Times New Roman"/>
        <w:sz w:val="10"/>
        <w:szCs w:val="10"/>
        <w:lang w:val="ru-RU" w:bidi="ru-RU"/>
      </w:rPr>
      <w:t xml:space="preserve"> </w:t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defaultTabStop w:val="720"/>
  <m:mathPr>
    <m:mathFont m:val="Cambria Math"/>
    <m:brkBin m:val="before"/>
    <m:brkBinSub m:val="--"/>
    <m:lMargin m:val="0"/>
    <m:rMargin m:val="0"/>
    <m:defJc m:val="center"/>
    <m:wrapIndent m:val="1440"/>
    <m:intLim m:val="subSup"/>
    <m:naryLim m:val="undOvr"/>
  </m:mathPr>
  <w:footnotePr>
    <w:footnote w:id="0"/>
    <w:footnote w:id="1"/>
    <w:pos w:val="pageBottom"/>
  </w:footnotePr>
  <w:endnotePr>
    <w:endnote w:id="0"/>
    <w:endnote w:id="1"/>
    <w:pos w:val="docEnd"/>
  </w:endnotePr>
  <w:compat>
    <w:forgetLastTabAlignment w:val="true"/>
    <w:doNotUseHTMLParagraphAutoSpacing w:val="true"/>
    <w:compatSetting w:name="compatibilityMode" w:uri="http://schemas.microsoft.com/office/word" w:val="1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4"/>
      </w:rPr>
    </w:rPrDefault>
    <w:pPrDefault>
      <w:pPr>
        <w:jc w:val="left"/>
        <w:spacing w:lineRule="auto" w:line="240" w:after="0"/>
        <w:rPr>
          <w:rFonts w:ascii="Times New Roman" w:hAnsi="Times New Roman" w:cs="Times New Roman" w:eastAsia="Times New Roman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qFormat/>
    <w:uiPriority w:val="0"/>
    <w:rPr>
      <w:rFonts w:ascii="Calibri" w:hAnsi="Calibri" w:cs="Calibri" w:eastAsia="Calibri"/>
      <w:sz w:val="22"/>
      <w:szCs w:val="22"/>
      <w:lang w:val="ru-RU" w:bidi="ru-RU"/>
    </w:rPr>
    <w:pPr>
      <w:ind w:left="0" w:right="0"/>
      <w:jc w:val="left"/>
      <w:spacing w:lineRule="auto" w:line="276" w:after="200"/>
      <w:rPr>
        <w:rFonts w:ascii="Times New Roman" w:hAnsi="Times New Roman" w:cs="Times New Roman" w:eastAsia="Times New Roman"/>
      </w:rPr>
    </w:pPr>
  </w:style>
  <w:style w:type="character" w:styleId="Style_10">
    <w:name w:val="Default Paragraph Font"/>
    <w:uiPriority w:val="1"/>
    <w:semiHidden/>
    <w:unhideWhenUsed/>
    <w:rPr>
      <w:rFonts w:ascii="Times New Roman" w:hAnsi="Times New Roman" w:cs="Times New Roman" w:eastAsia="Times New Roman"/>
      <w:sz w:val="24"/>
    </w:rPr>
  </w:style>
  <w:style w:type="table" w:styleId="Style_11">
    <w:name w:val="Normal Table"/>
    <w:qFormat/>
    <w:semiHidden/>
    <w:unhideWhenUsed/>
    <w:rPr>
      <w:rFonts w:ascii="Calibri" w:hAnsi="Calibri" w:cs="Calibri" w:eastAsia="Calibri"/>
      <w:sz w:val="22"/>
      <w:szCs w:val="22"/>
      <w:lang w:val="ru-RU" w:bidi="ru-RU"/>
    </w:rPr>
    <w:pPr>
      <w:ind w:left="0" w:right="0"/>
      <w:jc w:val="left"/>
      <w:spacing w:lineRule="auto" w:line="276" w:after="200"/>
      <w:rPr>
        <w:rFonts w:ascii="Times New Roman" w:hAnsi="Times New Roman" w:cs="Times New Roman" w:eastAsia="Times New Roman"/>
      </w:rPr>
    </w:pPr>
    <w:tblPr/>
  </w:style>
  <w:style w:type="paragraph" w:styleId="Style_15">
    <w:name w:val="ConsPlusNormal"/>
    <w:uiPriority w:val="0"/>
    <w:rPr>
      <w:rFonts w:ascii="Times New Roman" w:hAnsi="Times New Roman" w:cs="Times New Roman" w:eastAsia="Times New Roman"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16">
    <w:name w:val="ConsPlusNonformat"/>
    <w:rPr>
      <w:rFonts w:ascii="Courier New" w:hAnsi="Courier New" w:cs="Courier New" w:eastAsia="Courier New"/>
      <w:sz w:val="20"/>
      <w:szCs w:val="20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17">
    <w:name w:val="ConsPlusTitle"/>
    <w:rPr>
      <w:rFonts w:ascii="Arial" w:hAnsi="Arial" w:cs="Arial" w:eastAsia="Arial"/>
      <w:b/>
      <w:bCs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18">
    <w:name w:val="ConsPlusCell"/>
    <w:rPr>
      <w:rFonts w:ascii="Courier New" w:hAnsi="Courier New" w:cs="Courier New" w:eastAsia="Courier New"/>
      <w:sz w:val="20"/>
      <w:szCs w:val="20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19">
    <w:name w:val="ConsPlusDocList"/>
    <w:rPr>
      <w:rFonts w:ascii="Tahoma" w:hAnsi="Tahoma" w:cs="Tahoma" w:eastAsia="Tahoma"/>
      <w:sz w:val="18"/>
      <w:szCs w:val="18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20">
    <w:name w:val="ConsPlusTitlePage"/>
    <w:rPr>
      <w:rFonts w:ascii="Tahoma" w:hAnsi="Tahoma" w:cs="Tahoma" w:eastAsia="Tahoma"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21">
    <w:name w:val="ConsPlusJurTerm"/>
    <w:rPr>
      <w:rFonts w:ascii="Times New Roman" w:hAnsi="Times New Roman" w:cs="Times New Roman" w:eastAsia="Times New Roman"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22">
    <w:name w:val="ConsPlusTextList"/>
    <w:rPr>
      <w:rFonts w:ascii="Times New Roman" w:hAnsi="Times New Roman" w:cs="Times New Roman" w:eastAsia="Times New Roman"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  <w:style w:type="paragraph" w:styleId="Style_23">
    <w:name w:val="ConsPlusTextList1"/>
    <w:rPr>
      <w:rFonts w:ascii="Times New Roman" w:hAnsi="Times New Roman" w:cs="Times New Roman" w:eastAsia="Times New Roman"/>
      <w:sz w:val="24"/>
      <w:szCs w:val="24"/>
      <w:lang w:val="ru-RU" w:bidi="ru-RU"/>
    </w:rPr>
    <w:pPr>
      <w:ind w:left="0" w:right="0"/>
      <w:jc w:val="left"/>
      <w:spacing w:lineRule="auto" w:line="240" w:after="0"/>
      <w:rPr>
        <w:rFonts w:ascii="Times New Roman" w:hAnsi="Times New Roman" w:cs="Times New Roman" w:eastAsia="Times New Roman"/>
      </w:r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hyperlink" Target="http://www.consultant.ru" TargetMode="External"/><Relationship Id="rId12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389728&amp;date=26.07.2021&amp;dst=100219&amp;fld=134" TargetMode="External"/><Relationship Id="rId14" Type="http://schemas.openxmlformats.org/officeDocument/2006/relationships/hyperlink" Target="https://login.consultant.ru/link/?req=doc&amp;base=LAW&amp;n=386959&amp;date=26.07.2021" TargetMode="External"/><Relationship Id="rId15" Type="http://schemas.openxmlformats.org/officeDocument/2006/relationships/hyperlink" Target="https://login.consultant.ru/link/?req=doc&amp;base=LAW&amp;n=376511&amp;date=26.07.2021&amp;dst=25&amp;fld=134" TargetMode="External"/><Relationship Id="rId16" Type="http://schemas.openxmlformats.org/officeDocument/2006/relationships/hyperlink" Target="https://login.consultant.ru/link/?req=doc&amp;base=LAW&amp;n=371083&amp;date=26.07.2021&amp;dst=100007&amp;fld=134" TargetMode="External"/><Relationship Id="rId17" Type="http://schemas.openxmlformats.org/officeDocument/2006/relationships/hyperlink" Target="https://login.consultant.ru/link/?req=doc&amp;base=LAW&amp;n=389728&amp;date=26.07.2021&amp;dst=100356&amp;fld=134" TargetMode="External"/><Relationship Id="rId18" Type="http://schemas.openxmlformats.org/officeDocument/2006/relationships/hyperlink" Target="https://login.consultant.ru/link/?req=doc&amp;base=LAW&amp;n=386959&amp;date=26.07.2021&amp;dst=100076&amp;fld=134" TargetMode="External"/><Relationship Id="rId19" Type="http://schemas.openxmlformats.org/officeDocument/2006/relationships/hyperlink" Target="https://login.consultant.ru/link/?req=doc&amp;base=LAW&amp;n=389728&amp;date=26.07.2021&amp;dst=100097&amp;fld=134" TargetMode="External"/><Relationship Id="rId20" Type="http://schemas.openxmlformats.org/officeDocument/2006/relationships/hyperlink" Target="https://login.consultant.ru/link/?req=doc&amp;base=LAW&amp;n=389728&amp;date=26.07.2021&amp;dst=100102&amp;fld=134" TargetMode="External"/><Relationship Id="rId21" Type="http://schemas.openxmlformats.org/officeDocument/2006/relationships/hyperlink" Target="https://login.consultant.ru/link/?req=doc&amp;base=LAW&amp;n=383539&amp;date=26.07.2021&amp;dst=107&amp;fld=134" TargetMode="External"/><Relationship Id="rId22" Type="http://schemas.openxmlformats.org/officeDocument/2006/relationships/hyperlink" Target="https://login.consultant.ru/link/?req=doc&amp;base=LAW&amp;n=2875&amp;date=26.07.2021" TargetMode="External"/><Relationship Id="rId23" Type="http://schemas.openxmlformats.org/officeDocument/2006/relationships/hyperlink" Target="https://login.consultant.ru/link/?req=doc&amp;base=LAW&amp;n=383539&amp;date=26.07.2021&amp;dst=129&amp;fld=134" TargetMode="External"/><Relationship Id="rId24" Type="http://schemas.openxmlformats.org/officeDocument/2006/relationships/hyperlink" Target="https://login.consultant.ru/link/?req=doc&amp;base=LAW&amp;n=383539&amp;date=26.07.2021&amp;dst=100186&amp;fld=134" TargetMode="External"/><Relationship Id="rId25" Type="http://schemas.openxmlformats.org/officeDocument/2006/relationships/hyperlink" Target="https://login.consultant.ru/link/?req=doc&amp;base=LAW&amp;n=383539&amp;date=26.07.2021&amp;dst=100303&amp;fld=134" TargetMode="External"/><Relationship Id="rId26" Type="http://schemas.openxmlformats.org/officeDocument/2006/relationships/hyperlink" Target="https://login.consultant.ru/link/?req=doc&amp;base=LAW&amp;n=386959&amp;date=26.07.2021&amp;dst=100052&amp;fld=134" TargetMode="External"/><Relationship Id="rId27" Type="http://schemas.openxmlformats.org/officeDocument/2006/relationships/hyperlink" Target="https://login.consultant.ru/link/?req=doc&amp;base=LAW&amp;n=383539&amp;date=26.07.2021&amp;dst=1762&amp;fld=134" TargetMode="External"/><Relationship Id="rId28" Type="http://schemas.openxmlformats.org/officeDocument/2006/relationships/hyperlink" Target="https://login.consultant.ru/link/?req=doc&amp;base=LAW&amp;n=389728&amp;date=26.07.2021&amp;dst=100356&amp;fld=134" TargetMode="External"/><Relationship Id="rId29" Type="http://schemas.openxmlformats.org/officeDocument/2006/relationships/hyperlink" Target="https://login.consultant.ru/link/?req=doc&amp;base=LAW&amp;n=386959&amp;date=26.07.2021&amp;dst=100076&amp;fld=134" TargetMode="External"/><Relationship Id="rId30" Type="http://schemas.openxmlformats.org/officeDocument/2006/relationships/hyperlink" Target="https://login.consultant.ru/link/?req=doc&amp;base=LAW&amp;n=161999&amp;date=26.07.2021&amp;dst=100114&amp;fld=134" TargetMode="External"/><Relationship Id="rId31" Type="http://schemas.openxmlformats.org/officeDocument/2006/relationships/hyperlink" Target="https://login.consultant.ru/link/?req=doc&amp;base=LAW&amp;n=376511&amp;date=26.07.2021" TargetMode="External"/><Relationship Id="rId32" Type="http://schemas.openxmlformats.org/officeDocument/2006/relationships/hyperlink" Target="https://login.consultant.ru/link/?req=doc&amp;base=LAW&amp;n=383539&amp;date=26.07.2021&amp;dst=1762&amp;fld=134" TargetMode="External"/><Relationship Id="rId33" Type="http://schemas.openxmlformats.org/officeDocument/2006/relationships/hyperlink" Target="https://login.consultant.ru/link/?req=doc&amp;base=LAW&amp;n=386959&amp;date=26.07.2021&amp;dst=100052&amp;fld=134" TargetMode="External"/><Relationship Id="rId34" Type="http://schemas.openxmlformats.org/officeDocument/2006/relationships/hyperlink" Target="https://login.consultant.ru/link/?req=doc&amp;base=LAW&amp;n=383539&amp;date=26.07.2021&amp;dst=2479&amp;f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CharactersWithSpaces>14851</CharactersWithSpaces>
  <DocSecurity>0</DocSecurity>
  <HyperlinksChanged>false</HyperlinksChanged>
  <LinksUpToDate>false</LinksUpToDate>
  <Pages>7</Pages>
  <ScaleCrop>false</ScaleCrop>
  <SharedDoc>false</SharedDoc>
  <TotalTime>1</TotalTime>
  <Words>1572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Разъяснения Минтруда России, Роспотребнадзора&amp;quot;Разъяснения по организации вакцинации в организованных рабочих коллективах (трудовых коллективах) и порядку учета процента вакцинированных&amp;quot;(вместе с &amp;quot;Рекомендациями действий для работодателей при принятии глав</dc:title>
  <dc:creator>danchenkomv</dc:creator>
  <cp:lastModifiedBy/>
</cp:coreProperties>
</file>