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Приложение N 5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к Порядку предоставления грантов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в форме субсидий на осуществление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государственной поддержки развития</w:t>
      </w:r>
    </w:p>
    <w:p>
      <w:pPr>
        <w:pStyle w:val="Normal"/>
        <w:bidi w:val="0"/>
        <w:jc w:val="right"/>
        <w:rPr>
          <w:lang w:val="ru-RU"/>
        </w:rPr>
      </w:pPr>
      <w:r>
        <w:rPr>
          <w:rFonts w:ascii="Arial CYR" w:hAnsi="Arial CYR"/>
          <w:sz w:val="16"/>
          <w:lang w:val="ru-RU"/>
        </w:rPr>
        <w:t>инфраструктуры туризма</w:t>
      </w:r>
    </w:p>
    <w:p>
      <w:pPr>
        <w:pStyle w:val="Normal"/>
        <w:bidi w:val="0"/>
        <w:jc w:val="both"/>
        <w:rPr>
          <w:rFonts w:ascii="Arial CYR" w:hAnsi="Arial CYR"/>
          <w:sz w:val="16"/>
          <w:lang w:val="ru-RU"/>
        </w:rPr>
      </w:pPr>
      <w:r>
        <w:rPr>
          <w:rFonts w:ascii="Arial CYR" w:hAnsi="Arial CYR"/>
          <w:sz w:val="16"/>
          <w:lang w:val="ru-RU"/>
        </w:rPr>
      </w:r>
    </w:p>
    <w:p>
      <w:pPr>
        <w:pStyle w:val="Normal"/>
        <w:bidi w:val="0"/>
        <w:jc w:val="center"/>
        <w:rPr/>
      </w:pPr>
      <w:r>
        <w:rPr>
          <w:rFonts w:ascii="Arial CYR" w:hAnsi="Arial CYR"/>
          <w:b/>
          <w:sz w:val="16"/>
          <w:lang w:val="ru-RU"/>
        </w:rPr>
        <w:t>КРИТЕРИИ</w:t>
      </w:r>
    </w:p>
    <w:p>
      <w:pPr>
        <w:pStyle w:val="Normal"/>
        <w:bidi w:val="0"/>
        <w:jc w:val="center"/>
        <w:rPr/>
      </w:pPr>
      <w:r>
        <w:rPr>
          <w:rFonts w:ascii="Arial CYR" w:hAnsi="Arial CYR"/>
          <w:b/>
          <w:sz w:val="16"/>
          <w:lang w:val="ru-RU"/>
        </w:rPr>
        <w:t>оценки конкурсной документации</w:t>
      </w:r>
    </w:p>
    <w:p>
      <w:pPr>
        <w:pStyle w:val="Normal"/>
        <w:bidi w:val="0"/>
        <w:jc w:val="left"/>
        <w:rPr>
          <w:rFonts w:ascii="Arial CYR" w:hAnsi="Arial CYR"/>
          <w:b w:val="false"/>
          <w:b w:val="false"/>
          <w:sz w:val="24"/>
          <w:lang w:val="ru-RU"/>
        </w:rPr>
      </w:pPr>
      <w:r>
        <w:rPr>
          <w:rFonts w:ascii="Arial CYR" w:hAnsi="Arial CYR"/>
          <w:b w:val="false"/>
          <w:sz w:val="24"/>
          <w:lang w:val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"/>
        <w:gridCol w:w="100"/>
        <w:gridCol w:w="9041"/>
        <w:gridCol w:w="113"/>
      </w:tblGrid>
      <w:tr>
        <w:trPr/>
        <w:tc>
          <w:tcPr>
            <w:tcW w:w="100" w:type="dxa"/>
            <w:tcBorders/>
            <w:shd w:color="auto" w:fill="CED3F1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b w:val="false"/>
                <w:b w:val="false"/>
                <w:sz w:val="24"/>
                <w:lang w:val="ru-RU"/>
              </w:rPr>
            </w:pPr>
            <w:r>
              <w:rPr>
                <w:rFonts w:ascii="Arial CYR" w:hAnsi="Arial CYR"/>
                <w:b w:val="false"/>
                <w:sz w:val="24"/>
                <w:lang w:val="ru-RU"/>
              </w:rPr>
            </w:r>
          </w:p>
        </w:tc>
        <w:tc>
          <w:tcPr>
            <w:tcW w:w="100" w:type="dxa"/>
            <w:tcBorders/>
            <w:shd w:color="auto" w:fill="F4F3F8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Arial CYR" w:hAnsi="Arial CYR"/>
                <w:b w:val="false"/>
                <w:b w:val="false"/>
                <w:sz w:val="24"/>
                <w:lang w:val="ru-RU"/>
              </w:rPr>
            </w:pPr>
            <w:r>
              <w:rPr>
                <w:rFonts w:ascii="Arial CYR" w:hAnsi="Arial CYR"/>
                <w:b w:val="false"/>
                <w:sz w:val="24"/>
                <w:lang w:val="ru-RU"/>
              </w:rPr>
            </w:r>
          </w:p>
        </w:tc>
        <w:tc>
          <w:tcPr>
            <w:tcW w:w="9041" w:type="dxa"/>
            <w:tcBorders/>
            <w:shd w:color="auto" w:fill="F4F3F8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392C69"/>
                <w:sz w:val="16"/>
                <w:lang w:val="ru-RU"/>
              </w:rPr>
              <w:t>Список изменяющих документов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392C69"/>
                <w:sz w:val="16"/>
                <w:lang w:val="ru-RU"/>
              </w:rPr>
              <w:t xml:space="preserve">(в ред. </w:t>
            </w:r>
            <w:r>
              <w:rPr>
                <w:rFonts w:ascii="Arial CYR" w:hAnsi="Arial CYR"/>
                <w:b w:val="false"/>
                <w:color w:val="0000FF"/>
                <w:sz w:val="16"/>
                <w:u w:val="single"/>
                <w:lang w:val="ru-RU"/>
              </w:rPr>
              <w:t>постановления</w:t>
            </w:r>
            <w:r>
              <w:rPr>
                <w:rFonts w:ascii="Arial CYR" w:hAnsi="Arial CYR"/>
                <w:b w:val="false"/>
                <w:color w:val="392C69"/>
                <w:sz w:val="16"/>
                <w:lang w:val="ru-RU"/>
              </w:rPr>
              <w:t xml:space="preserve"> администрации Костромской области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392C69"/>
                <w:sz w:val="16"/>
                <w:lang w:val="ru-RU"/>
              </w:rPr>
              <w:t>от 17.04.2023 N 147-а)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392C69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392C69"/>
                <w:sz w:val="16"/>
                <w:lang w:val="ru-RU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Arial CYR" w:hAnsi="Arial CYR"/>
          <w:b w:val="false"/>
          <w:b w:val="false"/>
          <w:color w:val="auto"/>
          <w:sz w:val="16"/>
          <w:lang w:val="ru-RU"/>
        </w:rPr>
      </w:pPr>
      <w:r>
        <w:rPr>
          <w:rFonts w:ascii="Arial CYR" w:hAnsi="Arial CYR"/>
          <w:b w:val="false"/>
          <w:color w:val="auto"/>
          <w:sz w:val="16"/>
          <w:lang w:val="ru-RU"/>
        </w:rPr>
      </w:r>
    </w:p>
    <w:p>
      <w:pPr>
        <w:pStyle w:val="Normal"/>
        <w:bidi w:val="0"/>
        <w:ind w:firstLine="540"/>
        <w:jc w:val="both"/>
        <w:rPr/>
      </w:pPr>
      <w:r>
        <w:rPr>
          <w:rFonts w:ascii="Arial CYR" w:hAnsi="Arial CYR"/>
          <w:b w:val="false"/>
          <w:color w:val="auto"/>
          <w:sz w:val="16"/>
          <w:lang w:val="ru-RU"/>
        </w:rPr>
        <w:t>Член конкурсной комиссии оценивает конкурсную документацию по каждому критерию оценки, присваивая баллы (целыми числами) в зависимости от шкалы оценки, указанной ниже. Источник информации, в соответствии с которым оценивается конкурсная документация по конкретному критерию оценки, указан отдельно по каждому критерию оценки.</w:t>
      </w:r>
    </w:p>
    <w:p>
      <w:pPr>
        <w:pStyle w:val="Normal"/>
        <w:bidi w:val="0"/>
        <w:jc w:val="both"/>
        <w:rPr>
          <w:rFonts w:ascii="Arial CYR" w:hAnsi="Arial CYR"/>
          <w:b w:val="false"/>
          <w:b w:val="false"/>
          <w:color w:val="auto"/>
          <w:sz w:val="16"/>
          <w:lang w:val="ru-RU"/>
        </w:rPr>
      </w:pPr>
      <w:r>
        <w:rPr>
          <w:rFonts w:ascii="Arial CYR" w:hAnsi="Arial CYR"/>
          <w:b w:val="false"/>
          <w:color w:val="auto"/>
          <w:sz w:val="16"/>
          <w:lang w:val="ru-RU"/>
        </w:rPr>
      </w:r>
    </w:p>
    <w:tbl>
      <w:tblPr>
        <w:tblW w:w="906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7"/>
        <w:gridCol w:w="2953"/>
        <w:gridCol w:w="4705"/>
        <w:gridCol w:w="850"/>
      </w:tblGrid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N п/п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Наименование критерия оценки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Баллы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2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4</w:t>
            </w:r>
          </w:p>
        </w:tc>
      </w:tr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1.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Проект будет способствовать увеличению количества туристов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не способствует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0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способствует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1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способствует и привлечет новые целевые группы туристов (например, маломобильные группы населения, лиц старшего возраста, семьи с детьми)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2</w:t>
            </w:r>
          </w:p>
        </w:tc>
      </w:tr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2.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Проект взаимосвязан с туристскими маршрутами, туристскими ресурсами, его реализация даст прирост их посещаемости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не связан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0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интегрирован с туристскими ресурсами и туристическими маршрутами, но не является частью туристического маршрута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1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является неотъемлемой частью связанного туристического маршрута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2</w:t>
            </w:r>
          </w:p>
        </w:tc>
      </w:tr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3.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Риски реализации проекта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риски описаны не полностью/поверхностно, оценка рисков нереалистична (занижена), планируемые меры снижения/предотвращения рисков нецелесообразны, у эксперта есть существенные замечания (комментарий)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0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риски описаны не полностью, оценка рисков в целом реалистична, планируемые меры снижения/предотвращения рисков целесообразны, но у эксперта есть незначительные замечания (комментарий)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1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риски описаны подробно и исчерпывающе, оценка рисков реалистична, планируемые меры снижения/предотвращения рисков целесообразны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2</w:t>
            </w:r>
          </w:p>
        </w:tc>
      </w:tr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4.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Логическая связность и реализуемость проекта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проект слабо проработан, имеются противоречия между планируемой деятельностью и ожидаемыми результатами, сроки выполнения некорректны, имеются существенные ошибки в постановке целей, задач и описании мероприятий, имеются существенные замечания эксперта (с комментарием)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0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описание проекта не позволяет определить содержание основных мероприятий, имеются нарушения связи между целями, задачами, мероприятиями и предполагаемыми результатами, имеются другие замечания эксперта (с комментарием)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1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цели, задачи и мероприятия взаимосвязаны, запланированные мероприятия соответствуют условиям конкурса и обеспечивают решения задач, но есть замечания по их составу, сроки выполнения отдельных мероприятий требуют корректировки, имеются незначительные замечания эксперта (с комментарием)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2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описание проекта содержит необходимую и достаточную информацию для полного понимания его содержания, календарный план хорошо структурирован и детализован, мероприятия полностью соответствуют условиям конкурса и обеспечивают решение поставленных задач и достижение результатов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3</w:t>
            </w:r>
          </w:p>
        </w:tc>
      </w:tr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5.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Обоснованность и реалистичность бюджета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предполагаемые расходы не соответствуют мероприятиям проекта и/или условиям конкурсного отбора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0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не все предполагаемые расходы следуют из мероприятий и обоснованы, в бюджете предусмотрены не имеющие прямого отношения к реализации проекта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1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планируемые расходы следуют из мероприятий и обоснованы, однако не все детализованы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2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в бюджете проекта отсутствуют расходы, непосредственно не связанные с его реализацией, представлена детализация всех предполагаемых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3</w:t>
            </w:r>
          </w:p>
        </w:tc>
      </w:tr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6.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Фактический вклад собственных средств участника конкурсного отбора в реализацию проекта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размер собственных средств составляет 30% от размера запрашиваемой суммы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0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размер собственных средств составляет от 31% до 40% от размера запрашиваемой суммы гранта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1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размер собственных средств составляет от 41% до 50% размера запрашиваемой суммы гранта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2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размер собственных средств составляет от 51% от размера запрашиваемой суммы гранта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3</w:t>
            </w:r>
          </w:p>
        </w:tc>
      </w:tr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7.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Наличие у участника конкурсного отбора реализованных проектов по тематике заявленных мероприятий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отсутствие опыта в сфере деятельности и реализованных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0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опыт до 1 года или 1 реализованный проект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1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опыт 1-3 года или 1-3 реализованных проекта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2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опыт от 3 лет или более 3 реализованных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3</w:t>
            </w:r>
          </w:p>
        </w:tc>
      </w:tr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8.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Соответствие опыта и компетенций команды проекта заявленной деятельности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команда без опыта и компетенций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0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заявленные сотрудники обладают опытом и компетенциями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1</w:t>
            </w:r>
          </w:p>
        </w:tc>
      </w:tr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9.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Основные виды деятельности участника конкурсного отбора соответствуют заявленным видам деятельности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соответствует дополнительный ОКВЭД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1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соответствует основной ОКВЭД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2</w:t>
            </w:r>
          </w:p>
        </w:tc>
      </w:tr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10.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Участник отбора конкурсного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поставлен на учет в налоговом органе другого субъекта Российской Федерации, не осуществляет деятельность на территории Костромской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0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поставлен на учет в налоговом органе другого субъекта Российской Федерации, но осуществляет деятельность на территории Костромской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1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 CYR" w:hAnsi="Arial CYR"/>
                <w:b w:val="false"/>
                <w:b w:val="false"/>
                <w:color w:val="auto"/>
                <w:sz w:val="16"/>
                <w:lang w:val="ru-RU"/>
              </w:rPr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поставлен на учет в налоговом органе Костромской области и осуществляет деятельность в Костромской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>3</w:t>
            </w:r>
          </w:p>
        </w:tc>
      </w:tr>
      <w:tr>
        <w:trPr/>
        <w:tc>
          <w:tcPr>
            <w:tcW w:w="9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both"/>
              <w:rPr/>
            </w:pP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 xml:space="preserve">(п. 10 в ред. </w:t>
            </w:r>
            <w:r>
              <w:rPr>
                <w:rFonts w:ascii="Arial CYR" w:hAnsi="Arial CYR"/>
                <w:b w:val="false"/>
                <w:color w:val="0000FF"/>
                <w:sz w:val="16"/>
                <w:u w:val="single"/>
                <w:lang w:val="ru-RU"/>
              </w:rPr>
              <w:t>постановления</w:t>
            </w:r>
            <w:r>
              <w:rPr>
                <w:rFonts w:ascii="Arial CYR" w:hAnsi="Arial CYR"/>
                <w:b w:val="false"/>
                <w:color w:val="auto"/>
                <w:sz w:val="16"/>
                <w:lang w:val="ru-RU"/>
              </w:rPr>
              <w:t xml:space="preserve"> администрации Костромской области от 17.04.2023 N 147-а)</w:t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Arial CYR" w:hAnsi="Arial CYR"/>
          <w:b w:val="false"/>
          <w:b w:val="false"/>
          <w:color w:val="auto"/>
          <w:sz w:val="16"/>
          <w:lang w:val="ru-RU"/>
        </w:rPr>
      </w:pPr>
      <w:r>
        <w:rPr>
          <w:rFonts w:ascii="Arial CYR" w:hAnsi="Arial CYR"/>
          <w:b w:val="false"/>
          <w:color w:val="auto"/>
          <w:sz w:val="16"/>
          <w:lang w:val="ru-RU"/>
        </w:rPr>
      </w:r>
    </w:p>
    <w:p>
      <w:pPr>
        <w:pStyle w:val="Normal"/>
        <w:bidi w:val="0"/>
        <w:jc w:val="left"/>
        <w:rPr/>
      </w:pPr>
      <w:r>
        <w:rPr/>
        <w:br/>
      </w:r>
      <w:r>
        <w:rPr>
          <w:rFonts w:ascii="Arial CYR" w:hAnsi="Arial CYR"/>
          <w:b w:val="false"/>
          <w:i/>
          <w:color w:val="0000FF"/>
          <w:sz w:val="16"/>
          <w:u w:val="single"/>
          <w:lang w:val="ru-RU"/>
        </w:rPr>
        <w:t>Постановление Администрации Костромской области от 22.08.2022 N 422-а (ред. от 17.04.2023) "О порядках предоставления грантов в форме субсидий юридическим лицам, индивидуальным предпринимателям на развитие внутреннего и въездного туризма в Костромской области" {КонсультантПлюс}</w:t>
      </w:r>
      <w:r>
        <w:rPr/>
        <w:b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Arial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LibreOffice/7.2.7.2$Linux_X86_64 LibreOffice_project/20$Build-2</Application>
  <AppVersion>15.0000</AppVersion>
  <Pages>2</Pages>
  <Words>655</Words>
  <Characters>4608</Characters>
  <CharactersWithSpaces>5160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